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61F33">
      <w:pPr>
        <w:widowControl w:val="0"/>
        <w:overflowPunct w:val="0"/>
        <w:spacing w:line="360" w:lineRule="auto"/>
        <w:jc w:val="both"/>
        <w:rPr>
          <w:rFonts w:hint="eastAsia" w:ascii="方正小标宋简体" w:hAnsi="方正小标宋简体" w:eastAsia="方正小标宋简体" w:cs="方正小标宋简体"/>
          <w:sz w:val="36"/>
          <w:szCs w:val="36"/>
          <w:lang w:val="en-US" w:eastAsia="zh-CN"/>
        </w:rPr>
      </w:pPr>
      <w:r>
        <w:rPr>
          <w:rFonts w:hint="eastAsia" w:ascii="仿宋_GB2312" w:hAnsi="仿宋_GB2312" w:eastAsia="仿宋_GB2312" w:cs="仿宋_GB2312"/>
          <w:b w:val="0"/>
          <w:bCs w:val="0"/>
          <w:sz w:val="32"/>
          <w:szCs w:val="32"/>
          <w:lang w:val="en-US" w:eastAsia="zh-CN"/>
        </w:rPr>
        <w:t>附件：</w:t>
      </w:r>
    </w:p>
    <w:p w14:paraId="5CF0B53F">
      <w:pPr>
        <w:widowControl w:val="0"/>
        <w:overflowPunct w:val="0"/>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2025年重要业务活动</w:t>
      </w:r>
      <w:r>
        <w:rPr>
          <w:rFonts w:hint="eastAsia" w:ascii="方正小标宋简体" w:hAnsi="方正小标宋简体" w:eastAsia="方正小标宋简体" w:cs="方正小标宋简体"/>
          <w:sz w:val="36"/>
          <w:szCs w:val="36"/>
        </w:rPr>
        <w:t>内部控制自我评价</w:t>
      </w:r>
      <w:r>
        <w:rPr>
          <w:rFonts w:hint="eastAsia" w:ascii="方正小标宋简体" w:hAnsi="方正小标宋简体" w:eastAsia="方正小标宋简体" w:cs="方正小标宋简体"/>
          <w:sz w:val="36"/>
          <w:szCs w:val="36"/>
          <w:lang w:eastAsia="zh-CN"/>
        </w:rPr>
        <w:t>框架表</w:t>
      </w:r>
    </w:p>
    <w:tbl>
      <w:tblPr>
        <w:tblStyle w:val="5"/>
        <w:tblW w:w="13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835"/>
        <w:gridCol w:w="4304"/>
        <w:gridCol w:w="5478"/>
        <w:gridCol w:w="992"/>
        <w:gridCol w:w="20"/>
      </w:tblGrid>
      <w:tr w14:paraId="44CB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304" w:type="dxa"/>
            <w:noWrap w:val="0"/>
            <w:vAlign w:val="center"/>
          </w:tcPr>
          <w:p w14:paraId="007BDCE8">
            <w:pPr>
              <w:spacing w:line="360" w:lineRule="exact"/>
              <w:jc w:val="center"/>
              <w:textAlignment w:val="center"/>
              <w:rPr>
                <w:rFonts w:hint="eastAsia" w:ascii="仿宋_GB2312" w:hAnsi="仿宋_GB2312" w:eastAsia="仿宋_GB2312" w:cs="仿宋_GB2312"/>
                <w:b/>
                <w:color w:val="000000"/>
                <w:sz w:val="22"/>
                <w:szCs w:val="22"/>
                <w:lang w:eastAsia="zh-CN"/>
              </w:rPr>
            </w:pPr>
            <w:r>
              <w:rPr>
                <w:rFonts w:hint="eastAsia" w:ascii="仿宋_GB2312" w:hAnsi="仿宋_GB2312" w:eastAsia="仿宋_GB2312" w:cs="仿宋_GB2312"/>
                <w:b/>
                <w:color w:val="000000"/>
                <w:sz w:val="22"/>
                <w:szCs w:val="22"/>
                <w:lang w:eastAsia="zh-CN" w:bidi="ar"/>
              </w:rPr>
              <w:t>业务活动</w:t>
            </w:r>
          </w:p>
        </w:tc>
        <w:tc>
          <w:tcPr>
            <w:tcW w:w="1835" w:type="dxa"/>
            <w:noWrap w:val="0"/>
            <w:vAlign w:val="center"/>
          </w:tcPr>
          <w:p w14:paraId="0AB5A247">
            <w:pPr>
              <w:spacing w:line="360" w:lineRule="exact"/>
              <w:jc w:val="center"/>
              <w:textAlignment w:val="center"/>
              <w:rPr>
                <w:rFonts w:hint="eastAsia" w:ascii="仿宋_GB2312" w:hAnsi="仿宋_GB2312" w:eastAsia="仿宋_GB2312" w:cs="仿宋_GB2312"/>
                <w:b/>
                <w:color w:val="000000"/>
                <w:sz w:val="22"/>
                <w:szCs w:val="22"/>
                <w:lang w:eastAsia="zh-CN"/>
              </w:rPr>
            </w:pPr>
            <w:r>
              <w:rPr>
                <w:rFonts w:hint="eastAsia" w:ascii="仿宋_GB2312" w:hAnsi="仿宋_GB2312" w:eastAsia="仿宋_GB2312" w:cs="仿宋_GB2312"/>
                <w:b/>
                <w:color w:val="000000"/>
                <w:sz w:val="22"/>
                <w:szCs w:val="22"/>
                <w:lang w:eastAsia="zh-CN" w:bidi="ar"/>
              </w:rPr>
              <w:t>内控环节</w:t>
            </w:r>
          </w:p>
        </w:tc>
        <w:tc>
          <w:tcPr>
            <w:tcW w:w="4304" w:type="dxa"/>
            <w:noWrap w:val="0"/>
            <w:vAlign w:val="center"/>
          </w:tcPr>
          <w:p w14:paraId="3CC9CE83">
            <w:pPr>
              <w:spacing w:line="360" w:lineRule="exact"/>
              <w:jc w:val="center"/>
              <w:textAlignment w:val="center"/>
              <w:rPr>
                <w:rFonts w:hint="eastAsia" w:ascii="仿宋_GB2312" w:hAnsi="仿宋_GB2312" w:eastAsia="仿宋_GB2312" w:cs="仿宋_GB2312"/>
                <w:b/>
                <w:color w:val="000000"/>
                <w:sz w:val="22"/>
                <w:szCs w:val="22"/>
              </w:rPr>
            </w:pPr>
            <w:r>
              <w:rPr>
                <w:rFonts w:hint="eastAsia" w:ascii="仿宋_GB2312" w:hAnsi="仿宋_GB2312" w:eastAsia="仿宋_GB2312" w:cs="仿宋_GB2312"/>
                <w:b/>
                <w:color w:val="000000"/>
                <w:sz w:val="22"/>
                <w:szCs w:val="22"/>
                <w:lang w:eastAsia="zh-CN" w:bidi="ar"/>
              </w:rPr>
              <w:t>内控要求</w:t>
            </w:r>
          </w:p>
        </w:tc>
        <w:tc>
          <w:tcPr>
            <w:tcW w:w="5478" w:type="dxa"/>
            <w:noWrap w:val="0"/>
            <w:vAlign w:val="center"/>
          </w:tcPr>
          <w:p w14:paraId="252A7C19">
            <w:pPr>
              <w:spacing w:line="360" w:lineRule="exact"/>
              <w:jc w:val="center"/>
              <w:textAlignment w:val="center"/>
              <w:rPr>
                <w:rFonts w:hint="eastAsia" w:ascii="仿宋_GB2312" w:hAnsi="仿宋_GB2312" w:eastAsia="仿宋_GB2312" w:cs="仿宋_GB2312"/>
                <w:b/>
                <w:color w:val="000000"/>
                <w:sz w:val="22"/>
                <w:szCs w:val="22"/>
                <w:lang w:eastAsia="zh-CN" w:bidi="ar"/>
              </w:rPr>
            </w:pPr>
            <w:r>
              <w:rPr>
                <w:rFonts w:hint="eastAsia" w:ascii="仿宋_GB2312" w:hAnsi="仿宋_GB2312" w:eastAsia="仿宋_GB2312" w:cs="仿宋_GB2312"/>
                <w:b/>
                <w:color w:val="000000"/>
                <w:sz w:val="22"/>
                <w:szCs w:val="22"/>
                <w:lang w:eastAsia="zh-CN" w:bidi="ar"/>
              </w:rPr>
              <w:t>已制定的制度、实施措施和执行程序等</w:t>
            </w:r>
          </w:p>
        </w:tc>
        <w:tc>
          <w:tcPr>
            <w:tcW w:w="1012" w:type="dxa"/>
            <w:gridSpan w:val="2"/>
            <w:noWrap w:val="0"/>
            <w:vAlign w:val="center"/>
          </w:tcPr>
          <w:p w14:paraId="4BA0819C">
            <w:pPr>
              <w:spacing w:line="360" w:lineRule="exact"/>
              <w:jc w:val="center"/>
              <w:textAlignment w:val="center"/>
              <w:rPr>
                <w:rFonts w:hint="eastAsia" w:ascii="仿宋_GB2312" w:hAnsi="仿宋_GB2312" w:eastAsia="仿宋_GB2312" w:cs="仿宋_GB2312"/>
                <w:b/>
                <w:color w:val="000000"/>
                <w:sz w:val="22"/>
                <w:szCs w:val="22"/>
                <w:lang w:eastAsia="zh-CN" w:bidi="ar"/>
              </w:rPr>
            </w:pPr>
            <w:r>
              <w:rPr>
                <w:rFonts w:hint="eastAsia" w:ascii="仿宋_GB2312" w:hAnsi="仿宋_GB2312" w:eastAsia="仿宋_GB2312" w:cs="仿宋_GB2312"/>
                <w:b/>
                <w:color w:val="000000"/>
                <w:sz w:val="22"/>
                <w:szCs w:val="22"/>
                <w:lang w:eastAsia="zh-CN" w:bidi="ar"/>
              </w:rPr>
              <w:t>备注</w:t>
            </w:r>
          </w:p>
        </w:tc>
      </w:tr>
      <w:tr w14:paraId="4C62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04" w:type="dxa"/>
            <w:vMerge w:val="restart"/>
            <w:noWrap w:val="0"/>
            <w:vAlign w:val="center"/>
          </w:tcPr>
          <w:p w14:paraId="4B633AA2">
            <w:pPr>
              <w:spacing w:line="360" w:lineRule="exact"/>
              <w:jc w:val="center"/>
              <w:textAlignment w:val="center"/>
              <w:rPr>
                <w:rFonts w:hint="eastAsia" w:ascii="仿宋_GB2312" w:hAnsi="仿宋_GB2312" w:eastAsia="仿宋_GB2312" w:cs="仿宋_GB2312"/>
                <w:color w:val="000000"/>
                <w:sz w:val="22"/>
                <w:szCs w:val="22"/>
                <w:lang w:eastAsia="zh-CN" w:bidi="ar"/>
              </w:rPr>
            </w:pPr>
            <w:r>
              <w:rPr>
                <w:rFonts w:hint="eastAsia" w:ascii="仿宋_GB2312" w:hAnsi="仿宋_GB2312" w:eastAsia="仿宋_GB2312" w:cs="仿宋_GB2312"/>
                <w:color w:val="000000"/>
                <w:sz w:val="22"/>
                <w:szCs w:val="22"/>
                <w:lang w:bidi="ar"/>
              </w:rPr>
              <w:t>采购</w:t>
            </w:r>
            <w:r>
              <w:rPr>
                <w:rFonts w:hint="eastAsia" w:ascii="仿宋_GB2312" w:hAnsi="仿宋_GB2312" w:eastAsia="仿宋_GB2312" w:cs="仿宋_GB2312"/>
                <w:color w:val="000000"/>
                <w:sz w:val="22"/>
                <w:szCs w:val="22"/>
                <w:lang w:eastAsia="zh-CN" w:bidi="ar"/>
              </w:rPr>
              <w:t>管理</w:t>
            </w:r>
          </w:p>
        </w:tc>
        <w:tc>
          <w:tcPr>
            <w:tcW w:w="1835" w:type="dxa"/>
            <w:noWrap w:val="0"/>
            <w:vAlign w:val="center"/>
          </w:tcPr>
          <w:p w14:paraId="7A94623B">
            <w:pPr>
              <w:spacing w:line="360" w:lineRule="exact"/>
              <w:jc w:val="center"/>
              <w:textAlignment w:val="center"/>
              <w:rPr>
                <w:rFonts w:hint="eastAsia" w:ascii="仿宋_GB2312" w:hAnsi="仿宋_GB2312" w:eastAsia="仿宋_GB2312" w:cs="仿宋_GB2312"/>
                <w:color w:val="000000"/>
                <w:sz w:val="22"/>
                <w:szCs w:val="22"/>
                <w:lang w:bidi="ar"/>
              </w:rPr>
            </w:pPr>
          </w:p>
          <w:p w14:paraId="3194BE44">
            <w:pPr>
              <w:spacing w:line="360" w:lineRule="exact"/>
              <w:jc w:val="center"/>
              <w:textAlignment w:val="center"/>
              <w:rPr>
                <w:rFonts w:hint="eastAsia" w:ascii="仿宋_GB2312" w:hAnsi="仿宋_GB2312" w:eastAsia="仿宋_GB2312" w:cs="仿宋_GB2312"/>
                <w:color w:val="000000"/>
                <w:sz w:val="22"/>
                <w:szCs w:val="22"/>
                <w:lang w:eastAsia="zh-CN" w:bidi="ar"/>
              </w:rPr>
            </w:pPr>
            <w:r>
              <w:rPr>
                <w:rFonts w:hint="eastAsia" w:ascii="仿宋_GB2312" w:hAnsi="仿宋_GB2312" w:eastAsia="仿宋_GB2312" w:cs="仿宋_GB2312"/>
                <w:color w:val="000000"/>
                <w:sz w:val="22"/>
                <w:szCs w:val="22"/>
                <w:lang w:bidi="ar"/>
              </w:rPr>
              <w:t>内控制</w:t>
            </w:r>
            <w:r>
              <w:rPr>
                <w:rFonts w:hint="eastAsia" w:ascii="仿宋_GB2312" w:hAnsi="仿宋_GB2312" w:eastAsia="仿宋_GB2312" w:cs="仿宋_GB2312"/>
                <w:color w:val="000000"/>
                <w:sz w:val="22"/>
                <w:szCs w:val="22"/>
                <w:lang w:eastAsia="zh-CN" w:bidi="ar"/>
              </w:rPr>
              <w:t>度</w:t>
            </w:r>
          </w:p>
          <w:p w14:paraId="2034A527">
            <w:pPr>
              <w:spacing w:line="360" w:lineRule="exact"/>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建</w:t>
            </w:r>
            <w:r>
              <w:rPr>
                <w:rFonts w:hint="eastAsia" w:ascii="仿宋_GB2312" w:hAnsi="仿宋_GB2312" w:eastAsia="仿宋_GB2312" w:cs="仿宋_GB2312"/>
                <w:color w:val="000000"/>
                <w:sz w:val="22"/>
                <w:szCs w:val="22"/>
                <w:lang w:eastAsia="zh-CN" w:bidi="ar"/>
              </w:rPr>
              <w:t>设</w:t>
            </w:r>
            <w:r>
              <w:rPr>
                <w:rFonts w:hint="eastAsia" w:ascii="仿宋_GB2312" w:hAnsi="仿宋_GB2312" w:eastAsia="仿宋_GB2312" w:cs="仿宋_GB2312"/>
                <w:color w:val="000000"/>
                <w:sz w:val="22"/>
                <w:szCs w:val="22"/>
                <w:lang w:bidi="ar"/>
              </w:rPr>
              <w:t>情况</w:t>
            </w:r>
          </w:p>
        </w:tc>
        <w:tc>
          <w:tcPr>
            <w:tcW w:w="4304" w:type="dxa"/>
            <w:noWrap w:val="0"/>
            <w:vAlign w:val="center"/>
          </w:tcPr>
          <w:p w14:paraId="4F6CAE4E">
            <w:pPr>
              <w:spacing w:line="360" w:lineRule="exact"/>
              <w:jc w:val="both"/>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依据法律法规、上级部门工作要求和内部管理实际需要，建立</w:t>
            </w:r>
            <w:r>
              <w:rPr>
                <w:rFonts w:hint="eastAsia" w:ascii="仿宋_GB2312" w:hAnsi="仿宋_GB2312" w:eastAsia="仿宋_GB2312" w:cs="仿宋_GB2312"/>
                <w:color w:val="000000"/>
                <w:sz w:val="22"/>
                <w:szCs w:val="22"/>
                <w:lang w:eastAsia="zh-CN" w:bidi="ar"/>
              </w:rPr>
              <w:t>健全</w:t>
            </w:r>
            <w:r>
              <w:rPr>
                <w:rFonts w:hint="eastAsia" w:ascii="仿宋_GB2312" w:hAnsi="仿宋_GB2312" w:eastAsia="仿宋_GB2312" w:cs="仿宋_GB2312"/>
                <w:color w:val="000000"/>
                <w:sz w:val="22"/>
                <w:szCs w:val="22"/>
                <w:lang w:bidi="ar"/>
              </w:rPr>
              <w:t>涵盖采购预算与计划、采购需求、采购活动、履约验收</w:t>
            </w:r>
            <w:r>
              <w:rPr>
                <w:rFonts w:hint="eastAsia" w:ascii="仿宋_GB2312" w:hAnsi="仿宋_GB2312" w:eastAsia="仿宋_GB2312" w:cs="仿宋_GB2312"/>
                <w:color w:val="000000"/>
                <w:sz w:val="22"/>
                <w:szCs w:val="22"/>
                <w:lang w:eastAsia="zh-CN" w:bidi="ar"/>
              </w:rPr>
              <w:t>、信息公开</w:t>
            </w:r>
            <w:r>
              <w:rPr>
                <w:rFonts w:hint="eastAsia" w:ascii="仿宋_GB2312" w:hAnsi="仿宋_GB2312" w:eastAsia="仿宋_GB2312" w:cs="仿宋_GB2312"/>
                <w:color w:val="000000"/>
                <w:sz w:val="22"/>
                <w:szCs w:val="22"/>
                <w:lang w:bidi="ar"/>
              </w:rPr>
              <w:t>等环节的</w:t>
            </w:r>
            <w:r>
              <w:rPr>
                <w:rFonts w:hint="eastAsia" w:ascii="仿宋_GB2312" w:hAnsi="仿宋_GB2312" w:eastAsia="仿宋_GB2312" w:cs="仿宋_GB2312"/>
                <w:color w:val="000000"/>
                <w:sz w:val="22"/>
                <w:szCs w:val="22"/>
                <w:lang w:eastAsia="zh-CN" w:bidi="ar"/>
              </w:rPr>
              <w:t>议事决策、工作机制和</w:t>
            </w:r>
            <w:r>
              <w:rPr>
                <w:rFonts w:hint="eastAsia" w:ascii="仿宋_GB2312" w:hAnsi="仿宋_GB2312" w:eastAsia="仿宋_GB2312" w:cs="仿宋_GB2312"/>
                <w:color w:val="000000"/>
                <w:sz w:val="22"/>
                <w:szCs w:val="22"/>
                <w:lang w:bidi="ar"/>
              </w:rPr>
              <w:t>内部控制制度。</w:t>
            </w:r>
          </w:p>
        </w:tc>
        <w:tc>
          <w:tcPr>
            <w:tcW w:w="5478" w:type="dxa"/>
            <w:noWrap w:val="0"/>
            <w:vAlign w:val="center"/>
          </w:tcPr>
          <w:p w14:paraId="59C354CC">
            <w:pPr>
              <w:spacing w:line="360" w:lineRule="exact"/>
              <w:jc w:val="both"/>
              <w:textAlignment w:val="center"/>
              <w:rPr>
                <w:rFonts w:hint="eastAsia" w:ascii="仿宋_GB2312" w:hAnsi="仿宋_GB2312" w:eastAsia="仿宋_GB2312" w:cs="仿宋_GB2312"/>
                <w:color w:val="000000"/>
                <w:sz w:val="22"/>
                <w:szCs w:val="22"/>
                <w:lang w:eastAsia="zh-CN" w:bidi="ar"/>
              </w:rPr>
            </w:pPr>
            <w:r>
              <w:rPr>
                <w:rFonts w:hint="eastAsia" w:ascii="仿宋_GB2312" w:hAnsi="仿宋_GB2312" w:eastAsia="仿宋_GB2312" w:cs="仿宋_GB2312"/>
                <w:color w:val="000000"/>
                <w:sz w:val="22"/>
                <w:szCs w:val="22"/>
                <w:lang w:eastAsia="zh-CN" w:bidi="ar"/>
              </w:rPr>
              <w:t>以</w:t>
            </w:r>
            <w:r>
              <w:rPr>
                <w:rFonts w:hint="eastAsia" w:ascii="仿宋_GB2312" w:hAnsi="仿宋_GB2312" w:eastAsia="仿宋_GB2312" w:cs="仿宋_GB2312"/>
                <w:color w:val="000000"/>
                <w:sz w:val="22"/>
                <w:szCs w:val="22"/>
                <w:lang w:bidi="ar"/>
              </w:rPr>
              <w:t>“分事行权、分岗设权、分级授权”为主线，</w:t>
            </w:r>
            <w:r>
              <w:rPr>
                <w:rFonts w:hint="eastAsia" w:ascii="仿宋_GB2312" w:hAnsi="仿宋_GB2312" w:eastAsia="仿宋_GB2312" w:cs="仿宋_GB2312"/>
                <w:color w:val="000000"/>
                <w:sz w:val="22"/>
                <w:szCs w:val="22"/>
                <w:lang w:eastAsia="zh-CN" w:bidi="ar"/>
              </w:rPr>
              <w:t>围绕采购业务主体责任、归口管理、岗位设置、流程控制等，按清单方式逐项逐条列举已建立的议事决策、工作机制，制定和实施的制度、措施和执行程序等。</w:t>
            </w:r>
          </w:p>
        </w:tc>
        <w:tc>
          <w:tcPr>
            <w:tcW w:w="1012" w:type="dxa"/>
            <w:gridSpan w:val="2"/>
            <w:noWrap w:val="0"/>
            <w:vAlign w:val="center"/>
          </w:tcPr>
          <w:p w14:paraId="3C296210">
            <w:pPr>
              <w:spacing w:line="588" w:lineRule="exact"/>
              <w:jc w:val="center"/>
              <w:rPr>
                <w:rFonts w:hint="eastAsia" w:ascii="仿宋_GB2312" w:hAnsi="仿宋_GB2312" w:eastAsia="仿宋_GB2312" w:cs="仿宋_GB2312"/>
                <w:color w:val="000000"/>
                <w:sz w:val="22"/>
                <w:szCs w:val="22"/>
              </w:rPr>
            </w:pPr>
          </w:p>
        </w:tc>
      </w:tr>
      <w:tr w14:paraId="5726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304" w:type="dxa"/>
            <w:vMerge w:val="continue"/>
            <w:tcBorders/>
            <w:noWrap w:val="0"/>
            <w:vAlign w:val="center"/>
          </w:tcPr>
          <w:p w14:paraId="2D8D2483">
            <w:pPr>
              <w:spacing w:line="360" w:lineRule="exact"/>
              <w:jc w:val="both"/>
              <w:textAlignment w:val="center"/>
              <w:rPr>
                <w:rFonts w:hint="eastAsia" w:ascii="仿宋_GB2312" w:hAnsi="仿宋_GB2312" w:eastAsia="仿宋_GB2312" w:cs="仿宋_GB2312"/>
                <w:color w:val="000000"/>
                <w:sz w:val="22"/>
                <w:szCs w:val="22"/>
                <w:lang w:bidi="ar"/>
              </w:rPr>
            </w:pPr>
          </w:p>
        </w:tc>
        <w:tc>
          <w:tcPr>
            <w:tcW w:w="1835" w:type="dxa"/>
            <w:vMerge w:val="restart"/>
            <w:noWrap w:val="0"/>
            <w:vAlign w:val="center"/>
          </w:tcPr>
          <w:p w14:paraId="15DE6851">
            <w:pPr>
              <w:spacing w:line="360" w:lineRule="exact"/>
              <w:jc w:val="center"/>
              <w:textAlignment w:val="center"/>
              <w:rPr>
                <w:rFonts w:hint="eastAsia" w:ascii="仿宋_GB2312" w:hAnsi="仿宋_GB2312" w:eastAsia="仿宋_GB2312" w:cs="仿宋_GB2312"/>
                <w:color w:val="000000"/>
                <w:sz w:val="22"/>
                <w:szCs w:val="22"/>
                <w:lang w:eastAsia="zh-CN" w:bidi="ar"/>
              </w:rPr>
            </w:pPr>
            <w:r>
              <w:rPr>
                <w:rFonts w:hint="eastAsia" w:ascii="仿宋_GB2312" w:hAnsi="仿宋_GB2312" w:eastAsia="仿宋_GB2312" w:cs="仿宋_GB2312"/>
                <w:color w:val="000000"/>
                <w:sz w:val="22"/>
                <w:szCs w:val="22"/>
                <w:lang w:bidi="ar"/>
              </w:rPr>
              <w:t>内控制</w:t>
            </w:r>
            <w:r>
              <w:rPr>
                <w:rFonts w:hint="eastAsia" w:ascii="仿宋_GB2312" w:hAnsi="仿宋_GB2312" w:eastAsia="仿宋_GB2312" w:cs="仿宋_GB2312"/>
                <w:color w:val="000000"/>
                <w:sz w:val="22"/>
                <w:szCs w:val="22"/>
                <w:lang w:eastAsia="zh-CN" w:bidi="ar"/>
              </w:rPr>
              <w:t>度</w:t>
            </w:r>
          </w:p>
          <w:p w14:paraId="5C6288DC">
            <w:pPr>
              <w:spacing w:line="360" w:lineRule="exact"/>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实施情况</w:t>
            </w:r>
          </w:p>
        </w:tc>
        <w:tc>
          <w:tcPr>
            <w:tcW w:w="4304" w:type="dxa"/>
            <w:noWrap w:val="0"/>
            <w:vAlign w:val="center"/>
          </w:tcPr>
          <w:p w14:paraId="56533C90">
            <w:pPr>
              <w:spacing w:line="360" w:lineRule="exact"/>
              <w:jc w:val="both"/>
              <w:textAlignment w:val="center"/>
              <w:rPr>
                <w:rFonts w:hint="eastAsia" w:ascii="仿宋_GB2312" w:hAnsi="仿宋_GB2312" w:eastAsia="仿宋_GB2312" w:cs="仿宋_GB2312"/>
                <w:color w:val="000000"/>
                <w:sz w:val="22"/>
                <w:szCs w:val="22"/>
                <w:lang w:eastAsia="zh-CN" w:bidi="ar"/>
              </w:rPr>
            </w:pPr>
            <w:r>
              <w:rPr>
                <w:rFonts w:hint="eastAsia" w:ascii="仿宋_GB2312" w:hAnsi="仿宋_GB2312" w:eastAsia="仿宋_GB2312" w:cs="仿宋_GB2312"/>
                <w:color w:val="000000"/>
                <w:sz w:val="22"/>
                <w:szCs w:val="22"/>
                <w:lang w:eastAsia="zh-CN" w:bidi="ar"/>
              </w:rPr>
              <w:t>按照制度规定编制采购预算、实施采购计划、发布采购需求。</w:t>
            </w:r>
          </w:p>
        </w:tc>
        <w:tc>
          <w:tcPr>
            <w:tcW w:w="5478" w:type="dxa"/>
            <w:noWrap w:val="0"/>
            <w:vAlign w:val="center"/>
          </w:tcPr>
          <w:p w14:paraId="109595C9">
            <w:pPr>
              <w:spacing w:line="360" w:lineRule="exact"/>
              <w:jc w:val="both"/>
              <w:textAlignment w:val="center"/>
              <w:rPr>
                <w:rFonts w:hint="eastAsia" w:ascii="仿宋_GB2312" w:hAnsi="仿宋_GB2312" w:eastAsia="仿宋_GB2312" w:cs="仿宋_GB2312"/>
                <w:color w:val="000000"/>
                <w:sz w:val="22"/>
                <w:szCs w:val="22"/>
                <w:lang w:eastAsia="zh-CN" w:bidi="ar"/>
              </w:rPr>
            </w:pPr>
            <w:r>
              <w:rPr>
                <w:rFonts w:hint="eastAsia" w:ascii="仿宋_GB2312" w:hAnsi="仿宋_GB2312" w:eastAsia="仿宋_GB2312" w:cs="仿宋_GB2312"/>
                <w:color w:val="000000"/>
                <w:sz w:val="22"/>
                <w:szCs w:val="22"/>
                <w:lang w:eastAsia="zh-CN" w:bidi="ar"/>
              </w:rPr>
              <w:t>列举实施分类管理的采购制度以及采购预算、采购计划编制和采购需求发布各环节的制度条款和控制措施等。</w:t>
            </w:r>
          </w:p>
        </w:tc>
        <w:tc>
          <w:tcPr>
            <w:tcW w:w="1012" w:type="dxa"/>
            <w:gridSpan w:val="2"/>
            <w:noWrap w:val="0"/>
            <w:vAlign w:val="center"/>
          </w:tcPr>
          <w:p w14:paraId="29E14B15">
            <w:pPr>
              <w:spacing w:line="588" w:lineRule="exact"/>
              <w:jc w:val="center"/>
              <w:rPr>
                <w:rFonts w:hint="eastAsia" w:ascii="仿宋_GB2312" w:hAnsi="仿宋_GB2312" w:eastAsia="仿宋_GB2312" w:cs="仿宋_GB2312"/>
                <w:color w:val="000000"/>
                <w:sz w:val="22"/>
                <w:szCs w:val="22"/>
              </w:rPr>
            </w:pPr>
          </w:p>
        </w:tc>
      </w:tr>
      <w:tr w14:paraId="2406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04" w:type="dxa"/>
            <w:vMerge w:val="continue"/>
            <w:tcBorders/>
            <w:noWrap w:val="0"/>
            <w:vAlign w:val="center"/>
          </w:tcPr>
          <w:p w14:paraId="43D0A642">
            <w:pPr>
              <w:spacing w:line="360" w:lineRule="exact"/>
              <w:jc w:val="both"/>
              <w:textAlignment w:val="center"/>
              <w:rPr>
                <w:rFonts w:hint="eastAsia" w:ascii="仿宋_GB2312" w:hAnsi="仿宋_GB2312" w:eastAsia="仿宋_GB2312" w:cs="仿宋_GB2312"/>
                <w:color w:val="000000"/>
                <w:sz w:val="22"/>
                <w:szCs w:val="22"/>
                <w:lang w:bidi="ar"/>
              </w:rPr>
            </w:pPr>
          </w:p>
        </w:tc>
        <w:tc>
          <w:tcPr>
            <w:tcW w:w="1835" w:type="dxa"/>
            <w:vMerge w:val="continue"/>
            <w:tcBorders/>
            <w:noWrap w:val="0"/>
            <w:vAlign w:val="center"/>
          </w:tcPr>
          <w:p w14:paraId="479DFE8E">
            <w:pPr>
              <w:spacing w:line="360" w:lineRule="exact"/>
              <w:jc w:val="both"/>
              <w:textAlignment w:val="center"/>
              <w:rPr>
                <w:rFonts w:hint="eastAsia" w:ascii="仿宋_GB2312" w:hAnsi="仿宋_GB2312" w:eastAsia="仿宋_GB2312" w:cs="仿宋_GB2312"/>
                <w:color w:val="000000"/>
                <w:sz w:val="22"/>
                <w:szCs w:val="22"/>
                <w:lang w:bidi="ar"/>
              </w:rPr>
            </w:pPr>
          </w:p>
        </w:tc>
        <w:tc>
          <w:tcPr>
            <w:tcW w:w="4304" w:type="dxa"/>
            <w:noWrap w:val="0"/>
            <w:vAlign w:val="center"/>
          </w:tcPr>
          <w:p w14:paraId="71BE2FCC">
            <w:pPr>
              <w:spacing w:line="360" w:lineRule="exact"/>
              <w:jc w:val="both"/>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按照制度规定</w:t>
            </w:r>
            <w:r>
              <w:rPr>
                <w:rFonts w:hint="eastAsia" w:ascii="仿宋_GB2312" w:hAnsi="仿宋_GB2312" w:eastAsia="仿宋_GB2312" w:cs="仿宋_GB2312"/>
                <w:color w:val="000000"/>
                <w:sz w:val="22"/>
                <w:szCs w:val="22"/>
                <w:lang w:eastAsia="zh-CN" w:bidi="ar"/>
              </w:rPr>
              <w:t>组织采购活动，决策</w:t>
            </w:r>
            <w:r>
              <w:rPr>
                <w:rFonts w:hint="eastAsia" w:ascii="仿宋_GB2312" w:hAnsi="仿宋_GB2312" w:eastAsia="仿宋_GB2312" w:cs="仿宋_GB2312"/>
                <w:color w:val="000000"/>
                <w:sz w:val="22"/>
                <w:szCs w:val="22"/>
                <w:lang w:bidi="ar"/>
              </w:rPr>
              <w:t>采购模式（集中采购、分散采购）</w:t>
            </w:r>
            <w:r>
              <w:rPr>
                <w:rFonts w:hint="eastAsia" w:ascii="仿宋_GB2312" w:hAnsi="仿宋_GB2312" w:eastAsia="仿宋_GB2312" w:cs="仿宋_GB2312"/>
                <w:color w:val="000000"/>
                <w:sz w:val="22"/>
                <w:szCs w:val="22"/>
                <w:lang w:eastAsia="zh-CN" w:bidi="ar"/>
              </w:rPr>
              <w:t>，确定</w:t>
            </w:r>
            <w:r>
              <w:rPr>
                <w:rFonts w:hint="eastAsia" w:ascii="仿宋_GB2312" w:hAnsi="仿宋_GB2312" w:eastAsia="仿宋_GB2312" w:cs="仿宋_GB2312"/>
                <w:color w:val="000000"/>
                <w:sz w:val="22"/>
                <w:szCs w:val="22"/>
                <w:lang w:bidi="ar"/>
              </w:rPr>
              <w:t>采购方式（</w:t>
            </w:r>
            <w:r>
              <w:rPr>
                <w:rFonts w:hint="eastAsia" w:ascii="仿宋_GB2312" w:hAnsi="仿宋_GB2312" w:eastAsia="仿宋_GB2312" w:cs="仿宋_GB2312"/>
                <w:color w:val="000000"/>
                <w:sz w:val="22"/>
                <w:szCs w:val="22"/>
                <w:lang w:eastAsia="zh-CN" w:bidi="ar"/>
              </w:rPr>
              <w:t>公开招标、邀请</w:t>
            </w:r>
            <w:r>
              <w:rPr>
                <w:rFonts w:hint="eastAsia" w:ascii="仿宋_GB2312" w:hAnsi="仿宋_GB2312" w:eastAsia="仿宋_GB2312" w:cs="仿宋_GB2312"/>
                <w:color w:val="000000"/>
                <w:sz w:val="22"/>
                <w:szCs w:val="22"/>
                <w:lang w:bidi="ar"/>
              </w:rPr>
              <w:t>招标、竞争性谈判、询价、单一来源采购、框架协议采购、竞争性磋商采购、</w:t>
            </w:r>
            <w:r>
              <w:rPr>
                <w:rFonts w:hint="eastAsia" w:ascii="仿宋_GB2312" w:hAnsi="仿宋_GB2312" w:eastAsia="仿宋_GB2312" w:cs="仿宋_GB2312"/>
                <w:color w:val="000000"/>
                <w:sz w:val="22"/>
                <w:szCs w:val="22"/>
                <w:lang w:eastAsia="zh-CN" w:bidi="ar"/>
              </w:rPr>
              <w:t>合作创新采购、</w:t>
            </w:r>
            <w:r>
              <w:rPr>
                <w:rFonts w:hint="eastAsia" w:ascii="仿宋_GB2312" w:hAnsi="仿宋_GB2312" w:eastAsia="仿宋_GB2312" w:cs="仿宋_GB2312"/>
                <w:color w:val="000000"/>
                <w:sz w:val="22"/>
                <w:szCs w:val="22"/>
                <w:lang w:bidi="ar"/>
              </w:rPr>
              <w:t>其他）。</w:t>
            </w:r>
          </w:p>
        </w:tc>
        <w:tc>
          <w:tcPr>
            <w:tcW w:w="5478" w:type="dxa"/>
            <w:noWrap w:val="0"/>
            <w:vAlign w:val="center"/>
          </w:tcPr>
          <w:p w14:paraId="01FD23EA">
            <w:pPr>
              <w:pStyle w:val="4"/>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right="0"/>
              <w:jc w:val="left"/>
              <w:textAlignment w:val="auto"/>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kern w:val="2"/>
                <w:sz w:val="22"/>
                <w:szCs w:val="22"/>
                <w:lang w:val="en-US" w:eastAsia="zh-CN" w:bidi="ar"/>
              </w:rPr>
              <w:t>围绕委托代理、编制采购文件和拟订合同文本、执行采购程序等采购活动的重点内容和环节列举已实施的内控制度或流程控制措施等。</w:t>
            </w:r>
          </w:p>
        </w:tc>
        <w:tc>
          <w:tcPr>
            <w:tcW w:w="1012" w:type="dxa"/>
            <w:gridSpan w:val="2"/>
            <w:noWrap w:val="0"/>
            <w:vAlign w:val="center"/>
          </w:tcPr>
          <w:p w14:paraId="0A2FD8A1">
            <w:pPr>
              <w:spacing w:line="588" w:lineRule="exact"/>
              <w:jc w:val="center"/>
              <w:rPr>
                <w:rFonts w:hint="eastAsia" w:ascii="仿宋_GB2312" w:hAnsi="仿宋_GB2312" w:eastAsia="仿宋_GB2312" w:cs="仿宋_GB2312"/>
                <w:color w:val="000000"/>
                <w:sz w:val="22"/>
                <w:szCs w:val="22"/>
              </w:rPr>
            </w:pPr>
          </w:p>
        </w:tc>
      </w:tr>
      <w:tr w14:paraId="09C3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04" w:type="dxa"/>
            <w:vMerge w:val="continue"/>
            <w:tcBorders/>
            <w:noWrap w:val="0"/>
            <w:vAlign w:val="center"/>
          </w:tcPr>
          <w:p w14:paraId="035C44BE">
            <w:pPr>
              <w:spacing w:line="360" w:lineRule="exact"/>
              <w:jc w:val="both"/>
              <w:textAlignment w:val="center"/>
              <w:rPr>
                <w:rFonts w:hint="eastAsia" w:ascii="仿宋_GB2312" w:hAnsi="仿宋_GB2312" w:eastAsia="仿宋_GB2312" w:cs="仿宋_GB2312"/>
                <w:color w:val="000000"/>
                <w:sz w:val="22"/>
                <w:szCs w:val="22"/>
                <w:lang w:bidi="ar"/>
              </w:rPr>
            </w:pPr>
          </w:p>
        </w:tc>
        <w:tc>
          <w:tcPr>
            <w:tcW w:w="1835" w:type="dxa"/>
            <w:vMerge w:val="continue"/>
            <w:tcBorders/>
            <w:noWrap w:val="0"/>
            <w:vAlign w:val="center"/>
          </w:tcPr>
          <w:p w14:paraId="5E03CF75">
            <w:pPr>
              <w:spacing w:line="360" w:lineRule="exact"/>
              <w:jc w:val="both"/>
              <w:textAlignment w:val="center"/>
              <w:rPr>
                <w:rFonts w:hint="eastAsia" w:ascii="仿宋_GB2312" w:hAnsi="仿宋_GB2312" w:eastAsia="仿宋_GB2312" w:cs="仿宋_GB2312"/>
                <w:color w:val="000000"/>
                <w:sz w:val="22"/>
                <w:szCs w:val="22"/>
                <w:lang w:bidi="ar"/>
              </w:rPr>
            </w:pPr>
          </w:p>
        </w:tc>
        <w:tc>
          <w:tcPr>
            <w:tcW w:w="4304" w:type="dxa"/>
            <w:noWrap w:val="0"/>
            <w:vAlign w:val="center"/>
          </w:tcPr>
          <w:p w14:paraId="6956A007">
            <w:pPr>
              <w:spacing w:line="360" w:lineRule="exact"/>
              <w:jc w:val="both"/>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按照制度规定执行采购方式</w:t>
            </w:r>
            <w:r>
              <w:rPr>
                <w:rFonts w:hint="eastAsia" w:ascii="仿宋_GB2312" w:hAnsi="仿宋_GB2312" w:eastAsia="仿宋_GB2312" w:cs="仿宋_GB2312"/>
                <w:color w:val="000000"/>
                <w:sz w:val="22"/>
                <w:szCs w:val="22"/>
                <w:lang w:eastAsia="zh-CN" w:bidi="ar"/>
              </w:rPr>
              <w:t>、发布采购文件、答复</w:t>
            </w:r>
            <w:r>
              <w:rPr>
                <w:rFonts w:hint="eastAsia" w:ascii="仿宋_GB2312" w:hAnsi="仿宋_GB2312" w:eastAsia="仿宋_GB2312" w:cs="仿宋_GB2312"/>
                <w:color w:val="000000"/>
                <w:sz w:val="22"/>
                <w:szCs w:val="22"/>
                <w:lang w:bidi="ar"/>
              </w:rPr>
              <w:t>询问质疑</w:t>
            </w:r>
            <w:r>
              <w:rPr>
                <w:rFonts w:hint="eastAsia" w:ascii="仿宋_GB2312" w:hAnsi="仿宋_GB2312" w:eastAsia="仿宋_GB2312" w:cs="仿宋_GB2312"/>
                <w:color w:val="000000"/>
                <w:sz w:val="22"/>
                <w:szCs w:val="22"/>
                <w:lang w:eastAsia="zh-CN" w:bidi="ar"/>
              </w:rPr>
              <w:t>、</w:t>
            </w:r>
            <w:r>
              <w:rPr>
                <w:rFonts w:hint="eastAsia" w:ascii="仿宋_GB2312" w:hAnsi="仿宋_GB2312" w:eastAsia="仿宋_GB2312" w:cs="仿宋_GB2312"/>
                <w:color w:val="000000"/>
                <w:sz w:val="22"/>
                <w:szCs w:val="22"/>
                <w:lang w:bidi="ar"/>
              </w:rPr>
              <w:t>投诉</w:t>
            </w:r>
            <w:r>
              <w:rPr>
                <w:rFonts w:hint="eastAsia" w:ascii="仿宋_GB2312" w:hAnsi="仿宋_GB2312" w:eastAsia="仿宋_GB2312" w:cs="仿宋_GB2312"/>
                <w:color w:val="000000"/>
                <w:sz w:val="22"/>
                <w:szCs w:val="22"/>
                <w:lang w:eastAsia="zh-CN" w:bidi="ar"/>
              </w:rPr>
              <w:t>处理等节点控制。</w:t>
            </w:r>
          </w:p>
        </w:tc>
        <w:tc>
          <w:tcPr>
            <w:tcW w:w="5478" w:type="dxa"/>
            <w:noWrap w:val="0"/>
            <w:vAlign w:val="center"/>
          </w:tcPr>
          <w:p w14:paraId="19FA2F3E">
            <w:pPr>
              <w:spacing w:line="360" w:lineRule="exact"/>
              <w:jc w:val="both"/>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围绕“放管服”改革要求，重点梳理采购方式审批、采购文件审核、投诉处理等内部控制制度条款和工作规程等。</w:t>
            </w:r>
          </w:p>
        </w:tc>
        <w:tc>
          <w:tcPr>
            <w:tcW w:w="1012" w:type="dxa"/>
            <w:gridSpan w:val="2"/>
            <w:noWrap w:val="0"/>
            <w:vAlign w:val="center"/>
          </w:tcPr>
          <w:p w14:paraId="00E4BEF2">
            <w:pPr>
              <w:spacing w:line="588" w:lineRule="exact"/>
              <w:jc w:val="center"/>
              <w:rPr>
                <w:rFonts w:hint="eastAsia" w:ascii="仿宋_GB2312" w:hAnsi="仿宋_GB2312" w:eastAsia="仿宋_GB2312" w:cs="仿宋_GB2312"/>
                <w:color w:val="000000"/>
                <w:sz w:val="22"/>
                <w:szCs w:val="22"/>
              </w:rPr>
            </w:pPr>
          </w:p>
        </w:tc>
      </w:tr>
      <w:tr w14:paraId="76DA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304" w:type="dxa"/>
            <w:vMerge w:val="continue"/>
            <w:tcBorders/>
            <w:noWrap w:val="0"/>
            <w:vAlign w:val="center"/>
          </w:tcPr>
          <w:p w14:paraId="6AAF96DD">
            <w:pPr>
              <w:spacing w:line="360" w:lineRule="exact"/>
              <w:jc w:val="both"/>
              <w:textAlignment w:val="center"/>
              <w:rPr>
                <w:rFonts w:hint="eastAsia" w:ascii="仿宋_GB2312" w:hAnsi="仿宋_GB2312" w:eastAsia="仿宋_GB2312" w:cs="仿宋_GB2312"/>
                <w:color w:val="000000"/>
                <w:sz w:val="22"/>
                <w:szCs w:val="22"/>
                <w:lang w:bidi="ar"/>
              </w:rPr>
            </w:pPr>
          </w:p>
        </w:tc>
        <w:tc>
          <w:tcPr>
            <w:tcW w:w="1835" w:type="dxa"/>
            <w:vMerge w:val="continue"/>
            <w:tcBorders/>
            <w:noWrap w:val="0"/>
            <w:vAlign w:val="center"/>
          </w:tcPr>
          <w:p w14:paraId="75DA562C">
            <w:pPr>
              <w:spacing w:line="360" w:lineRule="exact"/>
              <w:jc w:val="both"/>
              <w:textAlignment w:val="center"/>
              <w:rPr>
                <w:rFonts w:hint="eastAsia" w:ascii="仿宋_GB2312" w:hAnsi="仿宋_GB2312" w:eastAsia="仿宋_GB2312" w:cs="仿宋_GB2312"/>
                <w:color w:val="000000"/>
                <w:sz w:val="22"/>
                <w:szCs w:val="22"/>
                <w:lang w:bidi="ar"/>
              </w:rPr>
            </w:pPr>
          </w:p>
        </w:tc>
        <w:tc>
          <w:tcPr>
            <w:tcW w:w="4304" w:type="dxa"/>
            <w:noWrap w:val="0"/>
            <w:vAlign w:val="center"/>
          </w:tcPr>
          <w:p w14:paraId="3541DD70">
            <w:pPr>
              <w:spacing w:line="360" w:lineRule="exact"/>
              <w:jc w:val="both"/>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采购信息公开的主体、范围、时间、内容、程序</w:t>
            </w:r>
            <w:r>
              <w:rPr>
                <w:rFonts w:hint="eastAsia" w:ascii="仿宋_GB2312" w:hAnsi="仿宋_GB2312" w:eastAsia="仿宋_GB2312" w:cs="仿宋_GB2312"/>
                <w:color w:val="000000"/>
                <w:sz w:val="22"/>
                <w:szCs w:val="22"/>
                <w:lang w:eastAsia="zh-CN" w:bidi="ar"/>
              </w:rPr>
              <w:t>、方式等情况</w:t>
            </w:r>
            <w:r>
              <w:rPr>
                <w:rFonts w:hint="eastAsia" w:ascii="仿宋_GB2312" w:hAnsi="仿宋_GB2312" w:eastAsia="仿宋_GB2312" w:cs="仿宋_GB2312"/>
                <w:color w:val="000000"/>
                <w:sz w:val="22"/>
                <w:szCs w:val="22"/>
                <w:lang w:bidi="ar"/>
              </w:rPr>
              <w:t>。</w:t>
            </w:r>
          </w:p>
        </w:tc>
        <w:tc>
          <w:tcPr>
            <w:tcW w:w="5478" w:type="dxa"/>
            <w:noWrap w:val="0"/>
            <w:vAlign w:val="center"/>
          </w:tcPr>
          <w:p w14:paraId="68878CD2">
            <w:pPr>
              <w:spacing w:line="360" w:lineRule="exact"/>
              <w:jc w:val="both"/>
              <w:textAlignment w:val="center"/>
              <w:rPr>
                <w:rFonts w:hint="eastAsia" w:ascii="仿宋_GB2312" w:hAnsi="仿宋_GB2312" w:eastAsia="仿宋_GB2312" w:cs="仿宋_GB2312"/>
                <w:color w:val="000000"/>
                <w:sz w:val="22"/>
                <w:szCs w:val="22"/>
                <w:lang w:eastAsia="zh-CN" w:bidi="ar"/>
              </w:rPr>
            </w:pPr>
            <w:r>
              <w:rPr>
                <w:rFonts w:hint="eastAsia" w:ascii="仿宋_GB2312" w:hAnsi="仿宋_GB2312" w:eastAsia="仿宋_GB2312" w:cs="仿宋_GB2312"/>
                <w:color w:val="000000"/>
                <w:sz w:val="22"/>
                <w:szCs w:val="22"/>
                <w:lang w:eastAsia="zh-CN" w:bidi="ar"/>
              </w:rPr>
              <w:t>列举已制定的制度（条款），以及执行的程序等。</w:t>
            </w:r>
          </w:p>
        </w:tc>
        <w:tc>
          <w:tcPr>
            <w:tcW w:w="1012" w:type="dxa"/>
            <w:gridSpan w:val="2"/>
            <w:noWrap w:val="0"/>
            <w:vAlign w:val="center"/>
          </w:tcPr>
          <w:p w14:paraId="2C1C9070">
            <w:pPr>
              <w:spacing w:line="588" w:lineRule="exact"/>
              <w:jc w:val="center"/>
              <w:rPr>
                <w:rFonts w:hint="eastAsia" w:ascii="仿宋_GB2312" w:hAnsi="仿宋_GB2312" w:eastAsia="仿宋_GB2312" w:cs="仿宋_GB2312"/>
                <w:color w:val="000000"/>
                <w:sz w:val="22"/>
                <w:szCs w:val="22"/>
              </w:rPr>
            </w:pPr>
          </w:p>
        </w:tc>
      </w:tr>
      <w:tr w14:paraId="1A4B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304" w:type="dxa"/>
            <w:vMerge w:val="continue"/>
            <w:tcBorders/>
            <w:noWrap w:val="0"/>
            <w:vAlign w:val="center"/>
          </w:tcPr>
          <w:p w14:paraId="59D2C330">
            <w:pPr>
              <w:spacing w:line="360" w:lineRule="exact"/>
              <w:jc w:val="both"/>
              <w:textAlignment w:val="center"/>
              <w:rPr>
                <w:rFonts w:hint="eastAsia" w:ascii="仿宋_GB2312" w:hAnsi="仿宋_GB2312" w:eastAsia="仿宋_GB2312" w:cs="仿宋_GB2312"/>
                <w:color w:val="000000"/>
                <w:sz w:val="22"/>
                <w:szCs w:val="22"/>
                <w:lang w:bidi="ar"/>
              </w:rPr>
            </w:pPr>
          </w:p>
        </w:tc>
        <w:tc>
          <w:tcPr>
            <w:tcW w:w="1835" w:type="dxa"/>
            <w:vMerge w:val="continue"/>
            <w:tcBorders/>
            <w:noWrap w:val="0"/>
            <w:vAlign w:val="center"/>
          </w:tcPr>
          <w:p w14:paraId="72C249E0">
            <w:pPr>
              <w:spacing w:line="360" w:lineRule="exact"/>
              <w:jc w:val="both"/>
              <w:textAlignment w:val="center"/>
              <w:rPr>
                <w:rFonts w:hint="eastAsia" w:ascii="仿宋_GB2312" w:hAnsi="仿宋_GB2312" w:eastAsia="仿宋_GB2312" w:cs="仿宋_GB2312"/>
                <w:color w:val="000000"/>
                <w:sz w:val="22"/>
                <w:szCs w:val="22"/>
                <w:lang w:bidi="ar"/>
              </w:rPr>
            </w:pPr>
          </w:p>
        </w:tc>
        <w:tc>
          <w:tcPr>
            <w:tcW w:w="4304" w:type="dxa"/>
            <w:noWrap w:val="0"/>
            <w:vAlign w:val="center"/>
          </w:tcPr>
          <w:p w14:paraId="51898CF1">
            <w:pPr>
              <w:spacing w:line="360" w:lineRule="exact"/>
              <w:jc w:val="both"/>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执行</w:t>
            </w:r>
            <w:r>
              <w:rPr>
                <w:rFonts w:hint="eastAsia" w:ascii="仿宋_GB2312" w:hAnsi="仿宋_GB2312" w:eastAsia="仿宋_GB2312" w:cs="仿宋_GB2312"/>
                <w:color w:val="000000"/>
                <w:sz w:val="22"/>
                <w:szCs w:val="22"/>
                <w:lang w:bidi="ar"/>
              </w:rPr>
              <w:t>采购履约验收程序</w:t>
            </w:r>
            <w:r>
              <w:rPr>
                <w:rFonts w:hint="eastAsia" w:ascii="仿宋_GB2312" w:hAnsi="仿宋_GB2312" w:eastAsia="仿宋_GB2312" w:cs="仿宋_GB2312"/>
                <w:color w:val="000000"/>
                <w:sz w:val="22"/>
                <w:szCs w:val="22"/>
                <w:lang w:eastAsia="zh-CN" w:bidi="ar"/>
              </w:rPr>
              <w:t>情况</w:t>
            </w:r>
            <w:r>
              <w:rPr>
                <w:rFonts w:hint="eastAsia" w:ascii="仿宋_GB2312" w:hAnsi="仿宋_GB2312" w:eastAsia="仿宋_GB2312" w:cs="仿宋_GB2312"/>
                <w:color w:val="000000"/>
                <w:sz w:val="22"/>
                <w:szCs w:val="22"/>
                <w:lang w:bidi="ar"/>
              </w:rPr>
              <w:t>。</w:t>
            </w:r>
          </w:p>
        </w:tc>
        <w:tc>
          <w:tcPr>
            <w:tcW w:w="5478" w:type="dxa"/>
            <w:noWrap w:val="0"/>
            <w:vAlign w:val="center"/>
          </w:tcPr>
          <w:p w14:paraId="3295D682">
            <w:pPr>
              <w:spacing w:line="360" w:lineRule="exact"/>
              <w:jc w:val="both"/>
              <w:textAlignment w:val="center"/>
              <w:rPr>
                <w:rFonts w:hint="default" w:ascii="仿宋_GB2312" w:hAnsi="仿宋_GB2312" w:eastAsia="仿宋_GB2312" w:cs="仿宋_GB2312"/>
                <w:color w:val="000000"/>
                <w:sz w:val="22"/>
                <w:szCs w:val="22"/>
                <w:lang w:val="en-US" w:eastAsia="zh-CN" w:bidi="ar"/>
              </w:rPr>
            </w:pPr>
            <w:r>
              <w:rPr>
                <w:rFonts w:hint="eastAsia" w:ascii="仿宋_GB2312" w:hAnsi="仿宋_GB2312" w:eastAsia="仿宋_GB2312" w:cs="仿宋_GB2312"/>
                <w:color w:val="000000"/>
                <w:sz w:val="22"/>
                <w:szCs w:val="22"/>
                <w:lang w:eastAsia="zh-CN" w:bidi="ar"/>
              </w:rPr>
              <w:t>总结分析采购验收办法和程序的实施效果</w:t>
            </w:r>
            <w:bookmarkStart w:id="0" w:name="_GoBack"/>
            <w:bookmarkEnd w:id="0"/>
          </w:p>
        </w:tc>
        <w:tc>
          <w:tcPr>
            <w:tcW w:w="1012" w:type="dxa"/>
            <w:gridSpan w:val="2"/>
            <w:tcBorders/>
            <w:noWrap w:val="0"/>
            <w:vAlign w:val="center"/>
          </w:tcPr>
          <w:p w14:paraId="7A20CCA2">
            <w:pPr>
              <w:spacing w:line="588" w:lineRule="exact"/>
              <w:jc w:val="center"/>
              <w:rPr>
                <w:rFonts w:hint="eastAsia" w:ascii="仿宋_GB2312" w:hAnsi="仿宋_GB2312" w:eastAsia="仿宋_GB2312" w:cs="仿宋_GB2312"/>
                <w:color w:val="000000"/>
                <w:sz w:val="22"/>
                <w:szCs w:val="22"/>
              </w:rPr>
            </w:pPr>
          </w:p>
        </w:tc>
      </w:tr>
      <w:tr w14:paraId="0C31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90" w:hRule="atLeast"/>
          <w:tblHeader/>
          <w:jc w:val="center"/>
        </w:trPr>
        <w:tc>
          <w:tcPr>
            <w:tcW w:w="1304" w:type="dxa"/>
            <w:noWrap w:val="0"/>
            <w:vAlign w:val="center"/>
          </w:tcPr>
          <w:p w14:paraId="0BA02021">
            <w:pPr>
              <w:spacing w:line="360" w:lineRule="exact"/>
              <w:jc w:val="left"/>
              <w:textAlignment w:val="center"/>
              <w:rPr>
                <w:rFonts w:hint="eastAsia" w:ascii="仿宋_GB2312" w:hAnsi="仿宋_GB2312" w:eastAsia="仿宋_GB2312" w:cs="仿宋_GB2312"/>
                <w:b/>
                <w:color w:val="000000"/>
                <w:sz w:val="22"/>
                <w:szCs w:val="22"/>
                <w:lang w:eastAsia="zh-CN"/>
              </w:rPr>
            </w:pPr>
            <w:r>
              <w:rPr>
                <w:rFonts w:hint="eastAsia" w:ascii="仿宋_GB2312" w:hAnsi="仿宋_GB2312" w:eastAsia="仿宋_GB2312" w:cs="仿宋_GB2312"/>
                <w:color w:val="000000"/>
                <w:sz w:val="22"/>
                <w:szCs w:val="22"/>
                <w:lang w:eastAsia="zh-CN" w:bidi="ar"/>
              </w:rPr>
              <w:br w:type="page"/>
            </w:r>
            <w:r>
              <w:rPr>
                <w:rFonts w:hint="eastAsia" w:ascii="仿宋_GB2312" w:hAnsi="仿宋_GB2312" w:eastAsia="仿宋_GB2312" w:cs="仿宋_GB2312"/>
                <w:b/>
                <w:color w:val="000000"/>
                <w:sz w:val="22"/>
                <w:szCs w:val="22"/>
                <w:lang w:eastAsia="zh-CN" w:bidi="ar"/>
              </w:rPr>
              <w:t>业务活动</w:t>
            </w:r>
          </w:p>
        </w:tc>
        <w:tc>
          <w:tcPr>
            <w:tcW w:w="1835" w:type="dxa"/>
            <w:noWrap w:val="0"/>
            <w:vAlign w:val="center"/>
          </w:tcPr>
          <w:p w14:paraId="7A310EC3">
            <w:pPr>
              <w:spacing w:line="360" w:lineRule="exact"/>
              <w:jc w:val="center"/>
              <w:textAlignment w:val="center"/>
              <w:rPr>
                <w:rFonts w:hint="eastAsia" w:ascii="仿宋_GB2312" w:hAnsi="仿宋_GB2312" w:eastAsia="仿宋_GB2312" w:cs="仿宋_GB2312"/>
                <w:b/>
                <w:color w:val="000000"/>
                <w:sz w:val="22"/>
                <w:szCs w:val="22"/>
                <w:lang w:eastAsia="zh-CN"/>
              </w:rPr>
            </w:pPr>
            <w:r>
              <w:rPr>
                <w:rFonts w:hint="eastAsia" w:ascii="仿宋_GB2312" w:hAnsi="仿宋_GB2312" w:eastAsia="仿宋_GB2312" w:cs="仿宋_GB2312"/>
                <w:b/>
                <w:color w:val="000000"/>
                <w:sz w:val="22"/>
                <w:szCs w:val="22"/>
                <w:lang w:eastAsia="zh-CN" w:bidi="ar"/>
              </w:rPr>
              <w:t>内控环节</w:t>
            </w:r>
          </w:p>
        </w:tc>
        <w:tc>
          <w:tcPr>
            <w:tcW w:w="4304" w:type="dxa"/>
            <w:noWrap w:val="0"/>
            <w:vAlign w:val="center"/>
          </w:tcPr>
          <w:p w14:paraId="46541B99">
            <w:pPr>
              <w:spacing w:line="360" w:lineRule="exact"/>
              <w:jc w:val="center"/>
              <w:textAlignment w:val="center"/>
              <w:rPr>
                <w:rFonts w:hint="eastAsia" w:ascii="仿宋_GB2312" w:hAnsi="仿宋_GB2312" w:eastAsia="仿宋_GB2312" w:cs="仿宋_GB2312"/>
                <w:b/>
                <w:color w:val="000000"/>
                <w:sz w:val="22"/>
                <w:szCs w:val="22"/>
              </w:rPr>
            </w:pPr>
            <w:r>
              <w:rPr>
                <w:rFonts w:hint="eastAsia" w:ascii="仿宋_GB2312" w:hAnsi="仿宋_GB2312" w:eastAsia="仿宋_GB2312" w:cs="仿宋_GB2312"/>
                <w:b/>
                <w:color w:val="000000"/>
                <w:sz w:val="22"/>
                <w:szCs w:val="22"/>
                <w:lang w:eastAsia="zh-CN" w:bidi="ar"/>
              </w:rPr>
              <w:t>内控要求</w:t>
            </w:r>
          </w:p>
        </w:tc>
        <w:tc>
          <w:tcPr>
            <w:tcW w:w="5478" w:type="dxa"/>
            <w:noWrap w:val="0"/>
            <w:vAlign w:val="center"/>
          </w:tcPr>
          <w:p w14:paraId="094CB47B">
            <w:pPr>
              <w:spacing w:line="360" w:lineRule="exact"/>
              <w:jc w:val="center"/>
              <w:textAlignment w:val="center"/>
              <w:rPr>
                <w:rFonts w:hint="eastAsia" w:ascii="仿宋_GB2312" w:hAnsi="仿宋_GB2312" w:eastAsia="仿宋_GB2312" w:cs="仿宋_GB2312"/>
                <w:b/>
                <w:color w:val="000000"/>
                <w:sz w:val="22"/>
                <w:szCs w:val="22"/>
                <w:lang w:eastAsia="zh-CN" w:bidi="ar"/>
              </w:rPr>
            </w:pPr>
            <w:r>
              <w:rPr>
                <w:rFonts w:hint="eastAsia" w:ascii="仿宋_GB2312" w:hAnsi="仿宋_GB2312" w:eastAsia="仿宋_GB2312" w:cs="仿宋_GB2312"/>
                <w:b/>
                <w:color w:val="000000"/>
                <w:sz w:val="22"/>
                <w:szCs w:val="22"/>
                <w:lang w:eastAsia="zh-CN" w:bidi="ar"/>
              </w:rPr>
              <w:t>已制定的制度、实施措施和执行程序等</w:t>
            </w:r>
          </w:p>
        </w:tc>
        <w:tc>
          <w:tcPr>
            <w:tcW w:w="992" w:type="dxa"/>
            <w:noWrap w:val="0"/>
            <w:vAlign w:val="center"/>
          </w:tcPr>
          <w:p w14:paraId="716E003C">
            <w:pPr>
              <w:spacing w:line="360" w:lineRule="exact"/>
              <w:jc w:val="center"/>
              <w:textAlignment w:val="center"/>
              <w:rPr>
                <w:rFonts w:hint="eastAsia" w:ascii="仿宋_GB2312" w:hAnsi="仿宋_GB2312" w:eastAsia="仿宋_GB2312" w:cs="仿宋_GB2312"/>
                <w:b/>
                <w:color w:val="000000"/>
                <w:sz w:val="22"/>
                <w:szCs w:val="22"/>
                <w:lang w:eastAsia="zh-CN" w:bidi="ar"/>
              </w:rPr>
            </w:pPr>
            <w:r>
              <w:rPr>
                <w:rFonts w:hint="eastAsia" w:ascii="仿宋_GB2312" w:hAnsi="仿宋_GB2312" w:eastAsia="仿宋_GB2312" w:cs="仿宋_GB2312"/>
                <w:b/>
                <w:color w:val="000000"/>
                <w:sz w:val="22"/>
                <w:szCs w:val="22"/>
                <w:lang w:eastAsia="zh-CN" w:bidi="ar"/>
              </w:rPr>
              <w:t>备注</w:t>
            </w:r>
          </w:p>
        </w:tc>
      </w:tr>
      <w:tr w14:paraId="64BA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40" w:hRule="atLeast"/>
          <w:jc w:val="center"/>
        </w:trPr>
        <w:tc>
          <w:tcPr>
            <w:tcW w:w="1304" w:type="dxa"/>
            <w:vMerge w:val="restart"/>
            <w:noWrap w:val="0"/>
            <w:vAlign w:val="center"/>
          </w:tcPr>
          <w:p w14:paraId="2E7F4EB8">
            <w:pPr>
              <w:spacing w:line="360" w:lineRule="exact"/>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工程</w:t>
            </w:r>
            <w:r>
              <w:rPr>
                <w:rFonts w:hint="eastAsia" w:ascii="仿宋_GB2312" w:hAnsi="仿宋_GB2312" w:eastAsia="仿宋_GB2312" w:cs="仿宋_GB2312"/>
                <w:color w:val="000000"/>
                <w:sz w:val="22"/>
                <w:szCs w:val="22"/>
                <w:lang w:bidi="ar"/>
              </w:rPr>
              <w:t>项目</w:t>
            </w:r>
            <w:r>
              <w:rPr>
                <w:rFonts w:hint="eastAsia" w:ascii="仿宋_GB2312" w:hAnsi="仿宋_GB2312" w:eastAsia="仿宋_GB2312" w:cs="仿宋_GB2312"/>
                <w:color w:val="000000"/>
                <w:sz w:val="22"/>
                <w:szCs w:val="22"/>
                <w:lang w:eastAsia="zh-CN" w:bidi="ar"/>
              </w:rPr>
              <w:t>管</w:t>
            </w:r>
            <w:r>
              <w:rPr>
                <w:rFonts w:hint="eastAsia" w:ascii="仿宋_GB2312" w:hAnsi="仿宋_GB2312" w:eastAsia="仿宋_GB2312" w:cs="仿宋_GB2312"/>
                <w:color w:val="000000"/>
                <w:sz w:val="22"/>
                <w:szCs w:val="22"/>
                <w:lang w:val="en-US" w:eastAsia="zh-CN" w:bidi="ar"/>
              </w:rPr>
              <w:t xml:space="preserve">    </w:t>
            </w:r>
            <w:r>
              <w:rPr>
                <w:rFonts w:hint="eastAsia" w:ascii="仿宋_GB2312" w:hAnsi="仿宋_GB2312" w:eastAsia="仿宋_GB2312" w:cs="仿宋_GB2312"/>
                <w:color w:val="000000"/>
                <w:sz w:val="22"/>
                <w:szCs w:val="22"/>
                <w:lang w:eastAsia="zh-CN" w:bidi="ar"/>
              </w:rPr>
              <w:t>理</w:t>
            </w:r>
          </w:p>
        </w:tc>
        <w:tc>
          <w:tcPr>
            <w:tcW w:w="1835" w:type="dxa"/>
            <w:noWrap w:val="0"/>
            <w:vAlign w:val="center"/>
          </w:tcPr>
          <w:p w14:paraId="4C0F14A9">
            <w:pPr>
              <w:spacing w:line="360" w:lineRule="exact"/>
              <w:jc w:val="center"/>
              <w:textAlignment w:val="center"/>
              <w:rPr>
                <w:rFonts w:hint="eastAsia" w:ascii="仿宋_GB2312" w:hAnsi="仿宋_GB2312" w:eastAsia="仿宋_GB2312" w:cs="仿宋_GB2312"/>
                <w:color w:val="000000"/>
                <w:sz w:val="22"/>
                <w:szCs w:val="22"/>
                <w:lang w:eastAsia="zh-CN" w:bidi="ar"/>
              </w:rPr>
            </w:pPr>
            <w:r>
              <w:rPr>
                <w:rFonts w:hint="eastAsia" w:ascii="仿宋_GB2312" w:hAnsi="仿宋_GB2312" w:eastAsia="仿宋_GB2312" w:cs="仿宋_GB2312"/>
                <w:color w:val="000000"/>
                <w:sz w:val="22"/>
                <w:szCs w:val="22"/>
                <w:lang w:bidi="ar"/>
              </w:rPr>
              <w:t>内控制</w:t>
            </w:r>
            <w:r>
              <w:rPr>
                <w:rFonts w:hint="eastAsia" w:ascii="仿宋_GB2312" w:hAnsi="仿宋_GB2312" w:eastAsia="仿宋_GB2312" w:cs="仿宋_GB2312"/>
                <w:color w:val="000000"/>
                <w:sz w:val="22"/>
                <w:szCs w:val="22"/>
                <w:lang w:eastAsia="zh-CN" w:bidi="ar"/>
              </w:rPr>
              <w:t>度</w:t>
            </w:r>
          </w:p>
          <w:p w14:paraId="59CBD28A">
            <w:pPr>
              <w:spacing w:line="360" w:lineRule="exact"/>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建立情况</w:t>
            </w:r>
          </w:p>
        </w:tc>
        <w:tc>
          <w:tcPr>
            <w:tcW w:w="4304" w:type="dxa"/>
            <w:noWrap w:val="0"/>
            <w:vAlign w:val="center"/>
          </w:tcPr>
          <w:p w14:paraId="3F6BF26B">
            <w:pPr>
              <w:spacing w:line="360" w:lineRule="exact"/>
              <w:jc w:val="both"/>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根</w:t>
            </w:r>
            <w:r>
              <w:rPr>
                <w:rFonts w:hint="eastAsia" w:ascii="仿宋_GB2312" w:hAnsi="仿宋_GB2312" w:eastAsia="仿宋_GB2312" w:cs="仿宋_GB2312"/>
                <w:color w:val="000000"/>
                <w:sz w:val="22"/>
                <w:szCs w:val="22"/>
                <w:lang w:bidi="ar"/>
              </w:rPr>
              <w:t>据法律法规、上级部门工作要求和内部管理实际需要，建立涵盖</w:t>
            </w:r>
            <w:r>
              <w:rPr>
                <w:rFonts w:hint="eastAsia" w:ascii="仿宋_GB2312" w:hAnsi="仿宋_GB2312" w:eastAsia="仿宋_GB2312" w:cs="仿宋_GB2312"/>
                <w:color w:val="000000"/>
                <w:sz w:val="22"/>
                <w:szCs w:val="22"/>
                <w:lang w:eastAsia="zh-CN" w:bidi="ar"/>
              </w:rPr>
              <w:t>工程</w:t>
            </w:r>
            <w:r>
              <w:rPr>
                <w:rFonts w:hint="eastAsia" w:ascii="仿宋_GB2312" w:hAnsi="仿宋_GB2312" w:eastAsia="仿宋_GB2312" w:cs="仿宋_GB2312"/>
                <w:color w:val="000000"/>
                <w:sz w:val="22"/>
                <w:szCs w:val="22"/>
                <w:lang w:bidi="ar"/>
              </w:rPr>
              <w:t>项目立项决策、概预算编制</w:t>
            </w:r>
            <w:r>
              <w:rPr>
                <w:rFonts w:hint="eastAsia" w:ascii="仿宋_GB2312" w:hAnsi="仿宋_GB2312" w:eastAsia="仿宋_GB2312" w:cs="仿宋_GB2312"/>
                <w:color w:val="000000"/>
                <w:sz w:val="22"/>
                <w:szCs w:val="22"/>
                <w:lang w:eastAsia="zh-CN" w:bidi="ar"/>
              </w:rPr>
              <w:t>与审核</w:t>
            </w:r>
            <w:r>
              <w:rPr>
                <w:rFonts w:hint="eastAsia" w:ascii="仿宋_GB2312" w:hAnsi="仿宋_GB2312" w:eastAsia="仿宋_GB2312" w:cs="仿宋_GB2312"/>
                <w:color w:val="000000"/>
                <w:sz w:val="22"/>
                <w:szCs w:val="22"/>
                <w:lang w:bidi="ar"/>
              </w:rPr>
              <w:t>、</w:t>
            </w:r>
            <w:r>
              <w:rPr>
                <w:rFonts w:hint="eastAsia" w:ascii="仿宋_GB2312" w:hAnsi="仿宋_GB2312" w:eastAsia="仿宋_GB2312" w:cs="仿宋_GB2312"/>
                <w:color w:val="000000"/>
                <w:sz w:val="22"/>
                <w:szCs w:val="22"/>
                <w:lang w:eastAsia="zh-CN" w:bidi="ar"/>
              </w:rPr>
              <w:t>招标组织、</w:t>
            </w:r>
            <w:r>
              <w:rPr>
                <w:rFonts w:hint="eastAsia" w:ascii="仿宋_GB2312" w:hAnsi="仿宋_GB2312" w:eastAsia="仿宋_GB2312" w:cs="仿宋_GB2312"/>
                <w:color w:val="000000"/>
                <w:sz w:val="22"/>
                <w:szCs w:val="22"/>
                <w:lang w:bidi="ar"/>
              </w:rPr>
              <w:t>合同签署、</w:t>
            </w:r>
            <w:r>
              <w:rPr>
                <w:rFonts w:hint="eastAsia" w:ascii="仿宋_GB2312" w:hAnsi="仿宋_GB2312" w:eastAsia="仿宋_GB2312" w:cs="仿宋_GB2312"/>
                <w:color w:val="000000"/>
                <w:sz w:val="22"/>
                <w:szCs w:val="22"/>
                <w:lang w:eastAsia="zh-CN" w:bidi="ar"/>
              </w:rPr>
              <w:t>施工管理</w:t>
            </w:r>
            <w:r>
              <w:rPr>
                <w:rFonts w:hint="eastAsia" w:ascii="仿宋_GB2312" w:hAnsi="仿宋_GB2312" w:eastAsia="仿宋_GB2312" w:cs="仿宋_GB2312"/>
                <w:color w:val="000000"/>
                <w:sz w:val="22"/>
                <w:szCs w:val="22"/>
                <w:lang w:bidi="ar"/>
              </w:rPr>
              <w:t>、价款支付、</w:t>
            </w:r>
            <w:r>
              <w:rPr>
                <w:rFonts w:hint="eastAsia" w:ascii="仿宋_GB2312" w:hAnsi="仿宋_GB2312" w:eastAsia="仿宋_GB2312" w:cs="仿宋_GB2312"/>
                <w:color w:val="000000"/>
                <w:sz w:val="22"/>
                <w:szCs w:val="22"/>
                <w:lang w:eastAsia="zh-CN" w:bidi="ar"/>
              </w:rPr>
              <w:t>竣工</w:t>
            </w:r>
            <w:r>
              <w:rPr>
                <w:rFonts w:hint="eastAsia" w:ascii="仿宋_GB2312" w:hAnsi="仿宋_GB2312" w:eastAsia="仿宋_GB2312" w:cs="仿宋_GB2312"/>
                <w:color w:val="000000"/>
                <w:sz w:val="22"/>
                <w:szCs w:val="22"/>
                <w:lang w:bidi="ar"/>
              </w:rPr>
              <w:t>决算</w:t>
            </w:r>
            <w:r>
              <w:rPr>
                <w:rFonts w:hint="eastAsia" w:ascii="仿宋_GB2312" w:hAnsi="仿宋_GB2312" w:eastAsia="仿宋_GB2312" w:cs="仿宋_GB2312"/>
                <w:color w:val="000000"/>
                <w:sz w:val="22"/>
                <w:szCs w:val="22"/>
                <w:lang w:eastAsia="zh-CN" w:bidi="ar"/>
              </w:rPr>
              <w:t>与</w:t>
            </w:r>
            <w:r>
              <w:rPr>
                <w:rFonts w:hint="eastAsia" w:ascii="仿宋_GB2312" w:hAnsi="仿宋_GB2312" w:eastAsia="仿宋_GB2312" w:cs="仿宋_GB2312"/>
                <w:color w:val="000000"/>
                <w:sz w:val="22"/>
                <w:szCs w:val="22"/>
                <w:lang w:bidi="ar"/>
              </w:rPr>
              <w:t>审计等制度</w:t>
            </w:r>
            <w:r>
              <w:rPr>
                <w:rFonts w:hint="eastAsia" w:ascii="仿宋_GB2312" w:hAnsi="仿宋_GB2312" w:eastAsia="仿宋_GB2312" w:cs="仿宋_GB2312"/>
                <w:color w:val="000000"/>
                <w:sz w:val="22"/>
                <w:szCs w:val="22"/>
                <w:lang w:eastAsia="zh-CN" w:bidi="ar"/>
              </w:rPr>
              <w:t>以及按不相容职务相互分离原则明确的内设机构和岗位的职责权限和工作流程。</w:t>
            </w:r>
          </w:p>
        </w:tc>
        <w:tc>
          <w:tcPr>
            <w:tcW w:w="5478" w:type="dxa"/>
            <w:noWrap w:val="0"/>
            <w:vAlign w:val="center"/>
          </w:tcPr>
          <w:p w14:paraId="42BD40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right="0"/>
              <w:rPr>
                <w:rFonts w:hint="eastAsia" w:ascii="仿宋_GB2312" w:hAnsi="仿宋_GB2312" w:eastAsia="仿宋_GB2312" w:cs="仿宋_GB2312"/>
                <w:color w:val="000000"/>
                <w:kern w:val="2"/>
                <w:sz w:val="22"/>
                <w:szCs w:val="22"/>
                <w:lang w:val="en-US" w:eastAsia="zh-CN" w:bidi="ar"/>
              </w:rPr>
            </w:pPr>
            <w:r>
              <w:rPr>
                <w:rFonts w:hint="eastAsia" w:ascii="仿宋_GB2312" w:hAnsi="仿宋_GB2312" w:eastAsia="仿宋_GB2312" w:cs="仿宋_GB2312"/>
                <w:color w:val="000000"/>
                <w:kern w:val="2"/>
                <w:sz w:val="22"/>
                <w:szCs w:val="22"/>
                <w:lang w:val="en-US" w:eastAsia="zh-CN" w:bidi="ar"/>
              </w:rPr>
              <w:t>以工程项目全生命周期控制为目标，全面梳理工程项目管理各类制度，以及相关的决策、执行与监督相互分离机制，形成制度清单和控制措施清单。</w:t>
            </w:r>
          </w:p>
          <w:p w14:paraId="567C0885">
            <w:pPr>
              <w:spacing w:line="360" w:lineRule="exact"/>
              <w:jc w:val="both"/>
              <w:textAlignment w:val="center"/>
              <w:rPr>
                <w:rFonts w:hint="eastAsia" w:ascii="仿宋_GB2312" w:hAnsi="仿宋_GB2312" w:eastAsia="仿宋_GB2312" w:cs="仿宋_GB2312"/>
                <w:color w:val="000000"/>
                <w:sz w:val="22"/>
                <w:szCs w:val="22"/>
                <w:lang w:bidi="ar"/>
              </w:rPr>
            </w:pPr>
          </w:p>
        </w:tc>
        <w:tc>
          <w:tcPr>
            <w:tcW w:w="992" w:type="dxa"/>
            <w:noWrap w:val="0"/>
            <w:vAlign w:val="center"/>
          </w:tcPr>
          <w:p w14:paraId="61439951">
            <w:pPr>
              <w:spacing w:line="588" w:lineRule="exact"/>
              <w:jc w:val="center"/>
              <w:rPr>
                <w:rFonts w:hint="eastAsia" w:ascii="仿宋_GB2312" w:hAnsi="仿宋_GB2312" w:eastAsia="仿宋_GB2312" w:cs="仿宋_GB2312"/>
                <w:color w:val="000000"/>
                <w:sz w:val="22"/>
                <w:szCs w:val="22"/>
              </w:rPr>
            </w:pPr>
          </w:p>
        </w:tc>
      </w:tr>
      <w:tr w14:paraId="46BF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40" w:hRule="atLeast"/>
          <w:jc w:val="center"/>
        </w:trPr>
        <w:tc>
          <w:tcPr>
            <w:tcW w:w="1304" w:type="dxa"/>
            <w:vMerge w:val="continue"/>
            <w:noWrap w:val="0"/>
            <w:vAlign w:val="center"/>
          </w:tcPr>
          <w:p w14:paraId="4F674806">
            <w:pPr>
              <w:spacing w:line="360" w:lineRule="exact"/>
              <w:jc w:val="both"/>
              <w:textAlignment w:val="center"/>
              <w:rPr>
                <w:rFonts w:hint="eastAsia" w:ascii="仿宋_GB2312" w:hAnsi="仿宋_GB2312" w:eastAsia="仿宋_GB2312" w:cs="仿宋_GB2312"/>
                <w:color w:val="000000"/>
                <w:sz w:val="22"/>
                <w:szCs w:val="22"/>
                <w:lang w:bidi="ar"/>
              </w:rPr>
            </w:pPr>
          </w:p>
        </w:tc>
        <w:tc>
          <w:tcPr>
            <w:tcW w:w="1835" w:type="dxa"/>
            <w:vMerge w:val="restart"/>
            <w:noWrap w:val="0"/>
            <w:vAlign w:val="center"/>
          </w:tcPr>
          <w:p w14:paraId="5B958095">
            <w:pPr>
              <w:spacing w:line="360" w:lineRule="exact"/>
              <w:jc w:val="center"/>
              <w:textAlignment w:val="center"/>
              <w:rPr>
                <w:rFonts w:hint="eastAsia" w:ascii="仿宋_GB2312" w:hAnsi="仿宋_GB2312" w:eastAsia="仿宋_GB2312" w:cs="仿宋_GB2312"/>
                <w:color w:val="000000"/>
                <w:sz w:val="22"/>
                <w:szCs w:val="22"/>
                <w:lang w:eastAsia="zh-CN" w:bidi="ar"/>
              </w:rPr>
            </w:pPr>
            <w:r>
              <w:rPr>
                <w:rFonts w:hint="eastAsia" w:ascii="仿宋_GB2312" w:hAnsi="仿宋_GB2312" w:eastAsia="仿宋_GB2312" w:cs="仿宋_GB2312"/>
                <w:color w:val="000000"/>
                <w:sz w:val="22"/>
                <w:szCs w:val="22"/>
                <w:lang w:bidi="ar"/>
              </w:rPr>
              <w:t>内控制</w:t>
            </w:r>
            <w:r>
              <w:rPr>
                <w:rFonts w:hint="eastAsia" w:ascii="仿宋_GB2312" w:hAnsi="仿宋_GB2312" w:eastAsia="仿宋_GB2312" w:cs="仿宋_GB2312"/>
                <w:color w:val="000000"/>
                <w:sz w:val="22"/>
                <w:szCs w:val="22"/>
                <w:lang w:eastAsia="zh-CN" w:bidi="ar"/>
              </w:rPr>
              <w:t>度</w:t>
            </w:r>
          </w:p>
          <w:p w14:paraId="434A9CF3">
            <w:pPr>
              <w:spacing w:line="360" w:lineRule="exact"/>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实施情况</w:t>
            </w:r>
          </w:p>
        </w:tc>
        <w:tc>
          <w:tcPr>
            <w:tcW w:w="4304" w:type="dxa"/>
            <w:noWrap w:val="0"/>
            <w:vAlign w:val="center"/>
          </w:tcPr>
          <w:p w14:paraId="69896976">
            <w:pPr>
              <w:spacing w:line="360" w:lineRule="exact"/>
              <w:jc w:val="both"/>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严格</w:t>
            </w:r>
            <w:r>
              <w:rPr>
                <w:rFonts w:hint="eastAsia" w:ascii="仿宋_GB2312" w:hAnsi="仿宋_GB2312" w:eastAsia="仿宋_GB2312" w:cs="仿宋_GB2312"/>
                <w:color w:val="000000"/>
                <w:sz w:val="22"/>
                <w:szCs w:val="22"/>
                <w:lang w:bidi="ar"/>
              </w:rPr>
              <w:t>按照制度规定，</w:t>
            </w:r>
            <w:r>
              <w:rPr>
                <w:rFonts w:hint="eastAsia" w:ascii="仿宋_GB2312" w:hAnsi="仿宋_GB2312" w:eastAsia="仿宋_GB2312" w:cs="仿宋_GB2312"/>
                <w:color w:val="000000"/>
                <w:kern w:val="2"/>
                <w:sz w:val="22"/>
                <w:szCs w:val="22"/>
                <w:lang w:val="en-US" w:eastAsia="zh-CN" w:bidi="ar"/>
              </w:rPr>
              <w:t>编制校园建设总体规划，</w:t>
            </w:r>
            <w:r>
              <w:rPr>
                <w:rFonts w:hint="eastAsia" w:ascii="仿宋_GB2312" w:hAnsi="仿宋_GB2312" w:eastAsia="仿宋_GB2312" w:cs="仿宋_GB2312"/>
                <w:color w:val="000000"/>
                <w:sz w:val="22"/>
                <w:szCs w:val="22"/>
                <w:lang w:bidi="ar"/>
              </w:rPr>
              <w:t>开展</w:t>
            </w:r>
            <w:r>
              <w:rPr>
                <w:rFonts w:hint="eastAsia" w:ascii="仿宋_GB2312" w:hAnsi="仿宋_GB2312" w:eastAsia="仿宋_GB2312" w:cs="仿宋_GB2312"/>
                <w:color w:val="000000"/>
                <w:sz w:val="22"/>
                <w:szCs w:val="22"/>
                <w:lang w:eastAsia="zh-CN" w:bidi="ar"/>
              </w:rPr>
              <w:t>工程</w:t>
            </w:r>
            <w:r>
              <w:rPr>
                <w:rFonts w:hint="eastAsia" w:ascii="仿宋_GB2312" w:hAnsi="仿宋_GB2312" w:eastAsia="仿宋_GB2312" w:cs="仿宋_GB2312"/>
                <w:color w:val="000000"/>
                <w:sz w:val="22"/>
                <w:szCs w:val="22"/>
                <w:lang w:bidi="ar"/>
              </w:rPr>
              <w:t>项目可行性研究、</w:t>
            </w:r>
            <w:r>
              <w:rPr>
                <w:rFonts w:hint="eastAsia" w:ascii="仿宋_GB2312" w:hAnsi="仿宋_GB2312" w:eastAsia="仿宋_GB2312" w:cs="仿宋_GB2312"/>
                <w:color w:val="000000"/>
                <w:kern w:val="2"/>
                <w:sz w:val="22"/>
                <w:szCs w:val="22"/>
                <w:lang w:val="en-US" w:eastAsia="zh-CN" w:bidi="ar"/>
              </w:rPr>
              <w:t>履行审批备案程序，</w:t>
            </w:r>
            <w:r>
              <w:rPr>
                <w:rFonts w:hint="eastAsia" w:ascii="仿宋_GB2312" w:hAnsi="仿宋_GB2312" w:eastAsia="仿宋_GB2312" w:cs="仿宋_GB2312"/>
                <w:color w:val="000000"/>
                <w:sz w:val="22"/>
                <w:szCs w:val="22"/>
                <w:lang w:bidi="ar"/>
              </w:rPr>
              <w:t>编制与审核概预算、</w:t>
            </w:r>
            <w:r>
              <w:rPr>
                <w:rFonts w:hint="eastAsia" w:ascii="仿宋_GB2312" w:hAnsi="仿宋_GB2312" w:eastAsia="仿宋_GB2312" w:cs="仿宋_GB2312"/>
                <w:color w:val="000000"/>
                <w:sz w:val="22"/>
                <w:szCs w:val="22"/>
                <w:lang w:eastAsia="zh-CN" w:bidi="ar"/>
              </w:rPr>
              <w:t>组织招标、</w:t>
            </w:r>
            <w:r>
              <w:rPr>
                <w:rFonts w:hint="eastAsia" w:ascii="仿宋_GB2312" w:hAnsi="仿宋_GB2312" w:eastAsia="仿宋_GB2312" w:cs="仿宋_GB2312"/>
                <w:color w:val="000000"/>
                <w:sz w:val="22"/>
                <w:szCs w:val="22"/>
                <w:lang w:bidi="ar"/>
              </w:rPr>
              <w:t>签署合同</w:t>
            </w:r>
            <w:r>
              <w:rPr>
                <w:rFonts w:hint="eastAsia" w:ascii="仿宋_GB2312" w:hAnsi="仿宋_GB2312" w:eastAsia="仿宋_GB2312" w:cs="仿宋_GB2312"/>
                <w:color w:val="000000"/>
                <w:sz w:val="22"/>
                <w:szCs w:val="22"/>
                <w:lang w:eastAsia="zh-CN" w:bidi="ar"/>
              </w:rPr>
              <w:t>、进行施工管理</w:t>
            </w:r>
            <w:r>
              <w:rPr>
                <w:rFonts w:hint="eastAsia" w:ascii="仿宋_GB2312" w:hAnsi="仿宋_GB2312" w:eastAsia="仿宋_GB2312" w:cs="仿宋_GB2312"/>
                <w:color w:val="000000"/>
                <w:sz w:val="22"/>
                <w:szCs w:val="22"/>
                <w:lang w:bidi="ar"/>
              </w:rPr>
              <w:t>、支付</w:t>
            </w:r>
            <w:r>
              <w:rPr>
                <w:rFonts w:hint="eastAsia" w:ascii="仿宋_GB2312" w:hAnsi="仿宋_GB2312" w:eastAsia="仿宋_GB2312" w:cs="仿宋_GB2312"/>
                <w:color w:val="000000"/>
                <w:sz w:val="22"/>
                <w:szCs w:val="22"/>
                <w:lang w:eastAsia="zh-CN" w:bidi="ar"/>
              </w:rPr>
              <w:t>进度款，办理竣工验收、竣工结算</w:t>
            </w:r>
            <w:r>
              <w:rPr>
                <w:rFonts w:hint="eastAsia" w:ascii="仿宋_GB2312" w:hAnsi="仿宋_GB2312" w:eastAsia="仿宋_GB2312" w:cs="仿宋_GB2312"/>
                <w:color w:val="000000"/>
                <w:sz w:val="22"/>
                <w:szCs w:val="22"/>
                <w:lang w:bidi="ar"/>
              </w:rPr>
              <w:t>等经济业务活动。</w:t>
            </w:r>
          </w:p>
        </w:tc>
        <w:tc>
          <w:tcPr>
            <w:tcW w:w="5478" w:type="dxa"/>
            <w:noWrap w:val="0"/>
            <w:vAlign w:val="center"/>
          </w:tcPr>
          <w:p w14:paraId="223FB358">
            <w:pPr>
              <w:spacing w:line="360" w:lineRule="exact"/>
              <w:jc w:val="both"/>
              <w:textAlignment w:val="center"/>
              <w:rPr>
                <w:rFonts w:hint="eastAsia" w:ascii="仿宋_GB2312" w:hAnsi="仿宋_GB2312" w:eastAsia="仿宋_GB2312" w:cs="仿宋_GB2312"/>
                <w:color w:val="000000"/>
                <w:sz w:val="22"/>
                <w:szCs w:val="22"/>
                <w:lang w:eastAsia="zh-CN" w:bidi="ar"/>
              </w:rPr>
            </w:pPr>
            <w:r>
              <w:rPr>
                <w:rFonts w:hint="eastAsia" w:ascii="仿宋_GB2312" w:hAnsi="仿宋_GB2312" w:eastAsia="仿宋_GB2312" w:cs="仿宋_GB2312"/>
                <w:color w:val="000000"/>
                <w:sz w:val="22"/>
                <w:szCs w:val="22"/>
                <w:lang w:eastAsia="zh-CN" w:bidi="ar"/>
              </w:rPr>
              <w:t>对照工程项目管理相关制度，以清单方式整理形成项目管理各关键环节内控措施与执行程序。</w:t>
            </w:r>
          </w:p>
        </w:tc>
        <w:tc>
          <w:tcPr>
            <w:tcW w:w="992" w:type="dxa"/>
            <w:noWrap w:val="0"/>
            <w:vAlign w:val="center"/>
          </w:tcPr>
          <w:p w14:paraId="749E1BE8">
            <w:pPr>
              <w:spacing w:line="588" w:lineRule="exact"/>
              <w:jc w:val="center"/>
              <w:rPr>
                <w:rFonts w:hint="eastAsia" w:ascii="仿宋_GB2312" w:hAnsi="仿宋_GB2312" w:eastAsia="仿宋_GB2312" w:cs="仿宋_GB2312"/>
                <w:color w:val="000000"/>
                <w:sz w:val="22"/>
                <w:szCs w:val="22"/>
              </w:rPr>
            </w:pPr>
          </w:p>
        </w:tc>
      </w:tr>
      <w:tr w14:paraId="7FE9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40" w:hRule="atLeast"/>
          <w:jc w:val="center"/>
        </w:trPr>
        <w:tc>
          <w:tcPr>
            <w:tcW w:w="1304" w:type="dxa"/>
            <w:vMerge w:val="continue"/>
            <w:noWrap w:val="0"/>
            <w:vAlign w:val="center"/>
          </w:tcPr>
          <w:p w14:paraId="759C3A9D">
            <w:pPr>
              <w:spacing w:line="360" w:lineRule="exact"/>
              <w:jc w:val="both"/>
              <w:textAlignment w:val="center"/>
              <w:rPr>
                <w:rFonts w:hint="eastAsia" w:ascii="仿宋_GB2312" w:hAnsi="仿宋_GB2312" w:eastAsia="仿宋_GB2312" w:cs="仿宋_GB2312"/>
                <w:color w:val="000000"/>
                <w:sz w:val="22"/>
                <w:szCs w:val="22"/>
                <w:lang w:bidi="ar"/>
              </w:rPr>
            </w:pPr>
          </w:p>
        </w:tc>
        <w:tc>
          <w:tcPr>
            <w:tcW w:w="1835" w:type="dxa"/>
            <w:vMerge w:val="continue"/>
            <w:noWrap w:val="0"/>
            <w:vAlign w:val="center"/>
          </w:tcPr>
          <w:p w14:paraId="05224315">
            <w:pPr>
              <w:spacing w:line="360" w:lineRule="exact"/>
              <w:jc w:val="both"/>
              <w:textAlignment w:val="center"/>
              <w:rPr>
                <w:rFonts w:hint="eastAsia" w:ascii="仿宋_GB2312" w:hAnsi="仿宋_GB2312" w:eastAsia="仿宋_GB2312" w:cs="仿宋_GB2312"/>
                <w:color w:val="000000"/>
                <w:sz w:val="22"/>
                <w:szCs w:val="22"/>
                <w:lang w:bidi="ar"/>
              </w:rPr>
            </w:pPr>
          </w:p>
        </w:tc>
        <w:tc>
          <w:tcPr>
            <w:tcW w:w="4304" w:type="dxa"/>
            <w:noWrap w:val="0"/>
            <w:vAlign w:val="center"/>
          </w:tcPr>
          <w:p w14:paraId="5A2835D5">
            <w:pPr>
              <w:spacing w:line="360" w:lineRule="exact"/>
              <w:jc w:val="both"/>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项目建议书、可行性研究报告、概预算、竣工决算报告等是否经相关工作人员或根据国家有关规定委托具有相应资质的中介机构进行审核，出具评审意见。</w:t>
            </w:r>
          </w:p>
        </w:tc>
        <w:tc>
          <w:tcPr>
            <w:tcW w:w="5478" w:type="dxa"/>
            <w:noWrap w:val="0"/>
            <w:vAlign w:val="center"/>
          </w:tcPr>
          <w:p w14:paraId="2A9D18A7">
            <w:pPr>
              <w:spacing w:line="360" w:lineRule="exact"/>
              <w:jc w:val="both"/>
              <w:textAlignment w:val="center"/>
              <w:rPr>
                <w:rFonts w:hint="eastAsia" w:ascii="仿宋_GB2312" w:hAnsi="仿宋_GB2312" w:eastAsia="仿宋_GB2312" w:cs="仿宋_GB2312"/>
                <w:color w:val="000000"/>
                <w:sz w:val="22"/>
                <w:szCs w:val="22"/>
                <w:lang w:eastAsia="zh-CN" w:bidi="ar"/>
              </w:rPr>
            </w:pPr>
            <w:r>
              <w:rPr>
                <w:rFonts w:hint="eastAsia" w:ascii="仿宋_GB2312" w:hAnsi="仿宋_GB2312" w:eastAsia="仿宋_GB2312" w:cs="仿宋_GB2312"/>
                <w:color w:val="000000"/>
                <w:sz w:val="22"/>
                <w:szCs w:val="22"/>
                <w:lang w:eastAsia="zh-CN" w:bidi="ar"/>
              </w:rPr>
              <w:t>对照上位制度要求和学校实际，总结提炼学校在正确履行项目建设手续、科学组织实施项目方面的成熟经验和做法。如以投资计划控制设计概算、以设计概算控制施工预算等方面的授权和工作程序等。</w:t>
            </w:r>
          </w:p>
        </w:tc>
        <w:tc>
          <w:tcPr>
            <w:tcW w:w="992" w:type="dxa"/>
            <w:noWrap w:val="0"/>
            <w:vAlign w:val="center"/>
          </w:tcPr>
          <w:p w14:paraId="61AF7C75">
            <w:pPr>
              <w:spacing w:line="588" w:lineRule="exact"/>
              <w:jc w:val="center"/>
              <w:rPr>
                <w:rFonts w:hint="eastAsia" w:ascii="仿宋_GB2312" w:hAnsi="仿宋_GB2312" w:eastAsia="仿宋_GB2312" w:cs="仿宋_GB2312"/>
                <w:color w:val="000000"/>
                <w:sz w:val="22"/>
                <w:szCs w:val="22"/>
              </w:rPr>
            </w:pPr>
          </w:p>
        </w:tc>
      </w:tr>
      <w:tr w14:paraId="32EC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40" w:hRule="atLeast"/>
          <w:jc w:val="center"/>
        </w:trPr>
        <w:tc>
          <w:tcPr>
            <w:tcW w:w="1304" w:type="dxa"/>
            <w:vMerge w:val="continue"/>
            <w:noWrap w:val="0"/>
            <w:vAlign w:val="center"/>
          </w:tcPr>
          <w:p w14:paraId="65C372DD">
            <w:pPr>
              <w:spacing w:line="360" w:lineRule="exact"/>
              <w:jc w:val="both"/>
              <w:textAlignment w:val="center"/>
              <w:rPr>
                <w:rFonts w:hint="eastAsia" w:ascii="仿宋_GB2312" w:hAnsi="仿宋_GB2312" w:eastAsia="仿宋_GB2312" w:cs="仿宋_GB2312"/>
                <w:color w:val="000000"/>
                <w:sz w:val="22"/>
                <w:szCs w:val="22"/>
                <w:lang w:bidi="ar"/>
              </w:rPr>
            </w:pPr>
          </w:p>
        </w:tc>
        <w:tc>
          <w:tcPr>
            <w:tcW w:w="1835" w:type="dxa"/>
            <w:vMerge w:val="continue"/>
            <w:noWrap w:val="0"/>
            <w:vAlign w:val="center"/>
          </w:tcPr>
          <w:p w14:paraId="22C06A87">
            <w:pPr>
              <w:spacing w:line="360" w:lineRule="exact"/>
              <w:jc w:val="both"/>
              <w:textAlignment w:val="center"/>
              <w:rPr>
                <w:rFonts w:hint="eastAsia" w:ascii="仿宋_GB2312" w:hAnsi="仿宋_GB2312" w:eastAsia="仿宋_GB2312" w:cs="仿宋_GB2312"/>
                <w:color w:val="000000"/>
                <w:sz w:val="22"/>
                <w:szCs w:val="22"/>
                <w:lang w:bidi="ar"/>
              </w:rPr>
            </w:pPr>
          </w:p>
        </w:tc>
        <w:tc>
          <w:tcPr>
            <w:tcW w:w="4304" w:type="dxa"/>
            <w:noWrap w:val="0"/>
            <w:vAlign w:val="center"/>
          </w:tcPr>
          <w:p w14:paraId="04933B28">
            <w:pPr>
              <w:spacing w:line="360" w:lineRule="exact"/>
              <w:jc w:val="left"/>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严格控制工程投资，工程变更、工程签证和影响工程造价的事项履行了必要程序。</w:t>
            </w:r>
          </w:p>
        </w:tc>
        <w:tc>
          <w:tcPr>
            <w:tcW w:w="5478" w:type="dxa"/>
            <w:noWrap w:val="0"/>
            <w:vAlign w:val="center"/>
          </w:tcPr>
          <w:p w14:paraId="571F23CF">
            <w:pPr>
              <w:spacing w:line="360" w:lineRule="exact"/>
              <w:jc w:val="both"/>
              <w:textAlignment w:val="center"/>
              <w:rPr>
                <w:rFonts w:hint="default" w:ascii="仿宋_GB2312" w:hAnsi="仿宋_GB2312" w:eastAsia="仿宋_GB2312" w:cs="仿宋_GB2312"/>
                <w:color w:val="000000"/>
                <w:sz w:val="22"/>
                <w:szCs w:val="22"/>
                <w:lang w:val="en-US" w:eastAsia="zh-CN" w:bidi="ar"/>
              </w:rPr>
            </w:pPr>
            <w:r>
              <w:rPr>
                <w:rFonts w:hint="eastAsia" w:ascii="仿宋_GB2312" w:hAnsi="仿宋_GB2312" w:eastAsia="仿宋_GB2312" w:cs="仿宋_GB2312"/>
                <w:color w:val="000000"/>
                <w:sz w:val="22"/>
                <w:szCs w:val="22"/>
                <w:lang w:eastAsia="zh-CN" w:bidi="ar"/>
              </w:rPr>
              <w:t>全面梳理工程变更、工程签证以及其他影响工程造价的工程管理行为方面的权限设定与执行程序。</w:t>
            </w:r>
          </w:p>
        </w:tc>
        <w:tc>
          <w:tcPr>
            <w:tcW w:w="992" w:type="dxa"/>
            <w:noWrap w:val="0"/>
            <w:vAlign w:val="center"/>
          </w:tcPr>
          <w:p w14:paraId="451236F3">
            <w:pPr>
              <w:spacing w:line="588" w:lineRule="exact"/>
              <w:jc w:val="center"/>
              <w:rPr>
                <w:rFonts w:hint="eastAsia" w:ascii="仿宋_GB2312" w:hAnsi="仿宋_GB2312" w:eastAsia="仿宋_GB2312" w:cs="仿宋_GB2312"/>
                <w:color w:val="000000"/>
                <w:sz w:val="22"/>
                <w:szCs w:val="22"/>
              </w:rPr>
            </w:pPr>
          </w:p>
        </w:tc>
      </w:tr>
      <w:tr w14:paraId="185C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40" w:hRule="atLeast"/>
          <w:jc w:val="center"/>
        </w:trPr>
        <w:tc>
          <w:tcPr>
            <w:tcW w:w="1304" w:type="dxa"/>
            <w:vMerge w:val="continue"/>
            <w:noWrap w:val="0"/>
            <w:vAlign w:val="center"/>
          </w:tcPr>
          <w:p w14:paraId="6EE0D1CA">
            <w:pPr>
              <w:spacing w:line="360" w:lineRule="exact"/>
              <w:jc w:val="both"/>
              <w:textAlignment w:val="center"/>
              <w:rPr>
                <w:rFonts w:hint="eastAsia" w:ascii="仿宋_GB2312" w:hAnsi="仿宋_GB2312" w:eastAsia="仿宋_GB2312" w:cs="仿宋_GB2312"/>
                <w:color w:val="000000"/>
                <w:sz w:val="22"/>
                <w:szCs w:val="22"/>
                <w:lang w:bidi="ar"/>
              </w:rPr>
            </w:pPr>
          </w:p>
        </w:tc>
        <w:tc>
          <w:tcPr>
            <w:tcW w:w="1835" w:type="dxa"/>
            <w:vMerge w:val="continue"/>
            <w:noWrap w:val="0"/>
            <w:vAlign w:val="center"/>
          </w:tcPr>
          <w:p w14:paraId="52ADF3C3">
            <w:pPr>
              <w:spacing w:line="360" w:lineRule="exact"/>
              <w:jc w:val="both"/>
              <w:textAlignment w:val="center"/>
              <w:rPr>
                <w:rFonts w:hint="eastAsia" w:ascii="仿宋_GB2312" w:hAnsi="仿宋_GB2312" w:eastAsia="仿宋_GB2312" w:cs="仿宋_GB2312"/>
                <w:color w:val="000000"/>
                <w:sz w:val="22"/>
                <w:szCs w:val="22"/>
                <w:lang w:bidi="ar"/>
              </w:rPr>
            </w:pPr>
          </w:p>
        </w:tc>
        <w:tc>
          <w:tcPr>
            <w:tcW w:w="4304" w:type="dxa"/>
            <w:noWrap w:val="0"/>
            <w:vAlign w:val="center"/>
          </w:tcPr>
          <w:p w14:paraId="592E6D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right="0"/>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kern w:val="2"/>
                <w:sz w:val="22"/>
                <w:szCs w:val="22"/>
                <w:lang w:val="en-US" w:eastAsia="zh-CN" w:bidi="ar"/>
              </w:rPr>
              <w:t>及时组织竣工验收和竣工决算，并办理资产移交、归档资料、进行产权登记等工作。</w:t>
            </w:r>
          </w:p>
        </w:tc>
        <w:tc>
          <w:tcPr>
            <w:tcW w:w="5478" w:type="dxa"/>
            <w:noWrap w:val="0"/>
            <w:vAlign w:val="center"/>
          </w:tcPr>
          <w:p w14:paraId="27DF1CA2">
            <w:pPr>
              <w:spacing w:line="360" w:lineRule="exact"/>
              <w:jc w:val="both"/>
              <w:textAlignment w:val="center"/>
              <w:rPr>
                <w:rFonts w:hint="eastAsia" w:ascii="仿宋_GB2312" w:hAnsi="仿宋_GB2312" w:eastAsia="仿宋_GB2312" w:cs="仿宋_GB2312"/>
                <w:color w:val="000000"/>
                <w:sz w:val="22"/>
                <w:szCs w:val="22"/>
                <w:lang w:eastAsia="zh-CN" w:bidi="ar"/>
              </w:rPr>
            </w:pPr>
            <w:r>
              <w:rPr>
                <w:rFonts w:hint="eastAsia" w:ascii="仿宋_GB2312" w:hAnsi="仿宋_GB2312" w:eastAsia="仿宋_GB2312" w:cs="仿宋_GB2312"/>
                <w:color w:val="000000"/>
                <w:sz w:val="22"/>
                <w:szCs w:val="22"/>
                <w:lang w:eastAsia="zh-CN" w:bidi="ar"/>
              </w:rPr>
              <w:t>竣工验收和竣工决算以及资产移交、资料归档、产权登记等工作的节点控制情况。</w:t>
            </w:r>
          </w:p>
        </w:tc>
        <w:tc>
          <w:tcPr>
            <w:tcW w:w="992" w:type="dxa"/>
            <w:noWrap w:val="0"/>
            <w:vAlign w:val="center"/>
          </w:tcPr>
          <w:p w14:paraId="6FC95873">
            <w:pPr>
              <w:spacing w:line="588" w:lineRule="exact"/>
              <w:jc w:val="center"/>
              <w:rPr>
                <w:rFonts w:hint="eastAsia" w:ascii="仿宋_GB2312" w:hAnsi="仿宋_GB2312" w:eastAsia="仿宋_GB2312" w:cs="仿宋_GB2312"/>
                <w:color w:val="000000"/>
                <w:sz w:val="22"/>
                <w:szCs w:val="22"/>
              </w:rPr>
            </w:pPr>
          </w:p>
        </w:tc>
      </w:tr>
    </w:tbl>
    <w:p w14:paraId="751C8418"/>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78CB90D5-88FB-4250-A069-0C61AB35AC7C}"/>
  </w:font>
  <w:font w:name="方正小标宋简体">
    <w:panose1 w:val="02000000000000000000"/>
    <w:charset w:val="86"/>
    <w:family w:val="auto"/>
    <w:pitch w:val="default"/>
    <w:sig w:usb0="00000001" w:usb1="080E0000" w:usb2="00000000" w:usb3="00000000" w:csb0="00040000" w:csb1="00000000"/>
    <w:embedRegular r:id="rId2" w:fontKey="{2713E4E5-BC92-4819-BCA8-4B5F0408F501}"/>
  </w:font>
  <w:font w:name="仿宋_GB2312">
    <w:panose1 w:val="02010609030101010101"/>
    <w:charset w:val="86"/>
    <w:family w:val="modern"/>
    <w:pitch w:val="default"/>
    <w:sig w:usb0="00000001" w:usb1="080E0000" w:usb2="00000000" w:usb3="00000000" w:csb0="00040000" w:csb1="00000000"/>
    <w:embedRegular r:id="rId3" w:fontKey="{563C1BB6-3673-439B-8E37-3C1EF352A25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C3FED"/>
    <w:rsid w:val="2C8C3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2025-10-11T00:39:00Z</dcterms:created>
  <dc:creator>杨凌喵喵</dc:creator>
  <cp:lastModifiedBy>杨凌喵喵</cp:lastModifiedBy>
  <dcterms:modified xsi:type="dcterms:W3CDTF">2025-10-11T00:43:49Z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3C5553B30734460E81201A42C4B2BCD3_11</vt:lpwstr>
  </property>
  <property fmtid="{D5CDD505-2E9C-101B-9397-08002B2CF9AE}" pid="4" name="KSOTemplateDocerSaveRecord">
    <vt:lpwstr>eyJoZGlkIjoiMmI0Y2I2Mzk1NGQ3MWIxYTkzOTY3YTVlMmVlODg4MzAiLCJ1c2VySWQiOiI0NDI1MzkwODQifQ==</vt:lpwstr>
  </property>
</Properties>
</file>