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916CF">
      <w:pPr>
        <w:spacing w:before="156" w:beforeLines="50"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 w14:paraId="2FD5060D">
      <w:pPr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b/>
          <w:bCs/>
          <w:sz w:val="32"/>
          <w:szCs w:val="32"/>
        </w:rPr>
        <w:t>工程项目委托审计考核指标表</w:t>
      </w:r>
    </w:p>
    <w:bookmarkEnd w:id="0"/>
    <w:tbl>
      <w:tblPr>
        <w:tblStyle w:val="3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58"/>
        <w:gridCol w:w="6262"/>
        <w:gridCol w:w="756"/>
      </w:tblGrid>
      <w:tr w14:paraId="0B8F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  <w:jc w:val="center"/>
        </w:trPr>
        <w:tc>
          <w:tcPr>
            <w:tcW w:w="1218" w:type="dxa"/>
            <w:noWrap w:val="0"/>
            <w:vAlign w:val="center"/>
          </w:tcPr>
          <w:p w14:paraId="125D623F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1358" w:type="dxa"/>
            <w:noWrap w:val="0"/>
            <w:vAlign w:val="center"/>
          </w:tcPr>
          <w:p w14:paraId="363E5CD3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考核内容</w:t>
            </w:r>
          </w:p>
        </w:tc>
        <w:tc>
          <w:tcPr>
            <w:tcW w:w="6262" w:type="dxa"/>
            <w:noWrap w:val="0"/>
            <w:vAlign w:val="center"/>
          </w:tcPr>
          <w:p w14:paraId="466F0155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考核标准</w:t>
            </w:r>
          </w:p>
        </w:tc>
        <w:tc>
          <w:tcPr>
            <w:tcW w:w="756" w:type="dxa"/>
            <w:noWrap w:val="0"/>
            <w:vAlign w:val="center"/>
          </w:tcPr>
          <w:p w14:paraId="401958DF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分值</w:t>
            </w:r>
          </w:p>
        </w:tc>
      </w:tr>
      <w:tr w14:paraId="475B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dxa"/>
            <w:noWrap w:val="0"/>
            <w:vAlign w:val="center"/>
          </w:tcPr>
          <w:p w14:paraId="7B9925B8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服务承诺</w:t>
            </w:r>
          </w:p>
          <w:p w14:paraId="51F57474">
            <w:pPr>
              <w:pStyle w:val="2"/>
              <w:spacing w:line="440" w:lineRule="exact"/>
              <w:ind w:firstLine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1358" w:type="dxa"/>
            <w:noWrap w:val="0"/>
            <w:vAlign w:val="center"/>
          </w:tcPr>
          <w:p w14:paraId="30EE76F2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服务承诺</w:t>
            </w:r>
          </w:p>
          <w:p w14:paraId="5665185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兑现情况 </w:t>
            </w:r>
          </w:p>
        </w:tc>
        <w:tc>
          <w:tcPr>
            <w:tcW w:w="6262" w:type="dxa"/>
            <w:noWrap w:val="0"/>
            <w:vAlign w:val="center"/>
          </w:tcPr>
          <w:p w14:paraId="5CD8777F">
            <w:pPr>
              <w:snapToGrid w:val="0"/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1.配合默契，高效率响应、很好履行了受托责任，计10分；</w:t>
            </w:r>
          </w:p>
          <w:p w14:paraId="6D562D43">
            <w:pPr>
              <w:snapToGrid w:val="0"/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2.积极响应，紧密配合，较好地履行受托责任，计7分；</w:t>
            </w:r>
          </w:p>
          <w:p w14:paraId="091645DC">
            <w:pPr>
              <w:snapToGrid w:val="0"/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3.响应及时，积极配合，及时履行受托责任的，计4分；</w:t>
            </w:r>
          </w:p>
          <w:p w14:paraId="64AB453D">
            <w:pPr>
              <w:snapToGrid w:val="0"/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4.拒绝接受甲方依法、依规指导和监督的；计0分；</w:t>
            </w:r>
          </w:p>
          <w:p w14:paraId="2238B7A0"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5.工作失误造成损失的，计0分。</w:t>
            </w:r>
          </w:p>
        </w:tc>
        <w:tc>
          <w:tcPr>
            <w:tcW w:w="756" w:type="dxa"/>
            <w:noWrap w:val="0"/>
            <w:vAlign w:val="center"/>
          </w:tcPr>
          <w:p w14:paraId="10B5353D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 w14:paraId="3BB5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dxa"/>
            <w:noWrap w:val="0"/>
            <w:vAlign w:val="center"/>
          </w:tcPr>
          <w:p w14:paraId="5ABA590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服务方案</w:t>
            </w:r>
          </w:p>
          <w:p w14:paraId="69DDAEE3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落实情况</w:t>
            </w:r>
          </w:p>
          <w:p w14:paraId="3B27E82F">
            <w:pPr>
              <w:pStyle w:val="2"/>
              <w:spacing w:line="440" w:lineRule="exact"/>
              <w:ind w:firstLine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1358" w:type="dxa"/>
            <w:noWrap w:val="0"/>
            <w:vAlign w:val="center"/>
          </w:tcPr>
          <w:p w14:paraId="7CD4A185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专业团队</w:t>
            </w:r>
          </w:p>
          <w:p w14:paraId="5DC3E0E6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配备情况</w:t>
            </w:r>
          </w:p>
        </w:tc>
        <w:tc>
          <w:tcPr>
            <w:tcW w:w="6262" w:type="dxa"/>
            <w:noWrap w:val="0"/>
            <w:vAlign w:val="center"/>
          </w:tcPr>
          <w:p w14:paraId="2C4F9681">
            <w:pPr>
              <w:snapToGrid w:val="0"/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1.专业配备齐全、团队人员结构合理（土建、安装不低于5人，全部具有一级注册造价工程师证书），工作分工具体明确的，计10分；</w:t>
            </w:r>
          </w:p>
          <w:p w14:paraId="3B1D6023">
            <w:pPr>
              <w:snapToGrid w:val="0"/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2.专业配备齐全、团队人员结构合理（土建、安装不低于5人，一、二级注册造价工程师搭配），工作分工具体明确的，计7分；</w:t>
            </w:r>
          </w:p>
          <w:p w14:paraId="05D17208">
            <w:pPr>
              <w:snapToGrid w:val="0"/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3.专业配备齐全、团队人员结构合理（土建、安装不低于5人，一、二级注册造价工程师搭配），工作联络较顺畅的，计4分；</w:t>
            </w:r>
          </w:p>
          <w:p w14:paraId="7898B1B2">
            <w:pPr>
              <w:snapToGrid w:val="0"/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4.人员配备不齐全、分工不合理，工作联系不顺畅的，计0分；</w:t>
            </w:r>
          </w:p>
        </w:tc>
        <w:tc>
          <w:tcPr>
            <w:tcW w:w="756" w:type="dxa"/>
            <w:noWrap w:val="0"/>
            <w:vAlign w:val="center"/>
          </w:tcPr>
          <w:p w14:paraId="1544E115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 w14:paraId="7EFE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 w14:paraId="08615A00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 w14:paraId="7C9F53F9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 w14:paraId="55A60FA4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预、结</w:t>
            </w:r>
          </w:p>
          <w:p w14:paraId="3AB592D1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算审核</w:t>
            </w:r>
          </w:p>
          <w:p w14:paraId="2D54D745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效  果</w:t>
            </w:r>
          </w:p>
          <w:p w14:paraId="64594AB8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(60)</w:t>
            </w:r>
          </w:p>
          <w:p w14:paraId="6EC70F87">
            <w:pPr>
              <w:pStyle w:val="2"/>
              <w:rPr>
                <w:rFonts w:hint="eastAsia"/>
              </w:rPr>
            </w:pPr>
          </w:p>
          <w:p w14:paraId="7E4D117D">
            <w:pPr>
              <w:pStyle w:val="2"/>
              <w:rPr>
                <w:rFonts w:hint="eastAsia"/>
              </w:rPr>
            </w:pPr>
          </w:p>
          <w:p w14:paraId="3C350120">
            <w:pPr>
              <w:pStyle w:val="2"/>
              <w:rPr>
                <w:rFonts w:hint="eastAsia"/>
              </w:rPr>
            </w:pPr>
          </w:p>
          <w:p w14:paraId="6E521F20">
            <w:pPr>
              <w:pStyle w:val="2"/>
              <w:rPr>
                <w:rFonts w:hint="eastAsia"/>
              </w:rPr>
            </w:pPr>
          </w:p>
          <w:p w14:paraId="374A73E2">
            <w:pPr>
              <w:pStyle w:val="2"/>
              <w:rPr>
                <w:rFonts w:hint="eastAsia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FE357A1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审核结果</w:t>
            </w:r>
          </w:p>
        </w:tc>
        <w:tc>
          <w:tcPr>
            <w:tcW w:w="6262" w:type="dxa"/>
            <w:noWrap w:val="0"/>
            <w:vAlign w:val="center"/>
          </w:tcPr>
          <w:p w14:paraId="6F3D06DC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1.承接项目的平均审减/增率高于入围其他同行5%以上的，计10分。</w:t>
            </w:r>
          </w:p>
          <w:p w14:paraId="077DB87E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2.承接项目的平均审减/增率与全部入围同行平均审减/增率的偏差保持在±2%以内的，计8分。</w:t>
            </w:r>
          </w:p>
          <w:p w14:paraId="6230D00A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3.承接项目的平均审/增减率低于3%的，计6分</w:t>
            </w:r>
          </w:p>
        </w:tc>
        <w:tc>
          <w:tcPr>
            <w:tcW w:w="756" w:type="dxa"/>
            <w:noWrap w:val="0"/>
            <w:vAlign w:val="center"/>
          </w:tcPr>
          <w:p w14:paraId="6574F1B6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 w14:paraId="6192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39A838F4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8547596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风险控制</w:t>
            </w:r>
          </w:p>
        </w:tc>
        <w:tc>
          <w:tcPr>
            <w:tcW w:w="6262" w:type="dxa"/>
            <w:noWrap w:val="0"/>
            <w:vAlign w:val="center"/>
          </w:tcPr>
          <w:p w14:paraId="5640E8AF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服务期间，典型性地解决了以下审计重、难点问题，有效控制了风险的，按难易程度分档次赋值。</w:t>
            </w:r>
          </w:p>
          <w:p w14:paraId="1C19D044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1.有效解决合同争议问题的，计20分；</w:t>
            </w:r>
          </w:p>
          <w:p w14:paraId="0A163AFB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2.有效校准了清单计价规则的，计17分；</w:t>
            </w:r>
          </w:p>
          <w:p w14:paraId="0A60CAF5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3.有效解决子目套用和定额组价问题的，计15分；</w:t>
            </w:r>
          </w:p>
          <w:p w14:paraId="5D23596C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4.解决预、结算审计问题措施不系统、不完善，存在一定缺陷的，不高于10分。</w:t>
            </w:r>
          </w:p>
        </w:tc>
        <w:tc>
          <w:tcPr>
            <w:tcW w:w="756" w:type="dxa"/>
            <w:noWrap w:val="0"/>
            <w:vAlign w:val="center"/>
          </w:tcPr>
          <w:p w14:paraId="1EE1259F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 w14:paraId="7142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61E1BD07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99FB4C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增值服务</w:t>
            </w:r>
          </w:p>
        </w:tc>
        <w:tc>
          <w:tcPr>
            <w:tcW w:w="6262" w:type="dxa"/>
            <w:noWrap w:val="0"/>
            <w:vAlign w:val="center"/>
          </w:tcPr>
          <w:p w14:paraId="5CF6E6BB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.服务期间，很好地履行了合同义务，甲乙方配合紧密、沟通顺畅，在技术支持、政策解释、协同攻坚等方面提供了实质性的增值服务，计10分</w:t>
            </w:r>
          </w:p>
          <w:p w14:paraId="3CB0A38B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2.通过预、结算审核，能发现管理问题并提出可行、可操作的审计意见和建议，促进学校提升治理能力建设水平。</w:t>
            </w:r>
          </w:p>
          <w:p w14:paraId="72554DA8"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3.服务期间，应急技术服务措施得力，。有效解决了应急需求的，计5分；</w:t>
            </w:r>
          </w:p>
        </w:tc>
        <w:tc>
          <w:tcPr>
            <w:tcW w:w="756" w:type="dxa"/>
            <w:noWrap w:val="0"/>
            <w:vAlign w:val="center"/>
          </w:tcPr>
          <w:p w14:paraId="64F553B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 w14:paraId="10CB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70D23C1E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95DDE85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文档质量</w:t>
            </w:r>
          </w:p>
        </w:tc>
        <w:tc>
          <w:tcPr>
            <w:tcW w:w="6262" w:type="dxa"/>
            <w:noWrap w:val="0"/>
            <w:vAlign w:val="center"/>
          </w:tcPr>
          <w:p w14:paraId="786B65C7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报告及时准确，</w:t>
            </w:r>
            <w:r>
              <w:rPr>
                <w:rFonts w:ascii="Times New Roman" w:hAnsi="Times New Roman" w:eastAsia="仿宋_GB2312"/>
                <w:color w:val="333333"/>
                <w:sz w:val="24"/>
                <w:shd w:val="clear" w:color="auto" w:fill="FFFFFF"/>
              </w:rPr>
              <w:t>行文规正、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逻辑严密、事实清楚、依据充分、易于理解，</w:t>
            </w:r>
            <w:r>
              <w:rPr>
                <w:rFonts w:ascii="Times New Roman" w:hAnsi="Times New Roman" w:eastAsia="仿宋_GB2312"/>
                <w:color w:val="333333"/>
                <w:sz w:val="24"/>
                <w:shd w:val="clear" w:color="auto" w:fill="FFFFFF"/>
              </w:rPr>
              <w:t>装订规范。根据提交报告份数以及项目规模、技术难度等分级分档合理评价。</w:t>
            </w:r>
          </w:p>
        </w:tc>
        <w:tc>
          <w:tcPr>
            <w:tcW w:w="756" w:type="dxa"/>
            <w:noWrap w:val="0"/>
            <w:vAlign w:val="center"/>
          </w:tcPr>
          <w:p w14:paraId="1B4EB4FF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 w14:paraId="6F51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 w14:paraId="559D1FE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廉洁从业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(20)</w:t>
            </w:r>
          </w:p>
          <w:p w14:paraId="0A41363E">
            <w:pPr>
              <w:pStyle w:val="2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16D3E2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4BDD7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遵守廉洁</w:t>
            </w:r>
          </w:p>
          <w:p w14:paraId="407E994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纪律情况</w:t>
            </w:r>
          </w:p>
        </w:tc>
        <w:tc>
          <w:tcPr>
            <w:tcW w:w="6262" w:type="dxa"/>
            <w:noWrap w:val="0"/>
            <w:vAlign w:val="center"/>
          </w:tcPr>
          <w:p w14:paraId="78F26D33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有以下任何一种情形的，都不得分：</w:t>
            </w:r>
          </w:p>
          <w:p w14:paraId="48FD24AC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1.与施工单位串通舞弊。</w:t>
            </w:r>
          </w:p>
          <w:p w14:paraId="307F9496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2.利用工作便利获取不正当利益。</w:t>
            </w:r>
          </w:p>
          <w:p w14:paraId="4A68B8BF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3.隐瞒发现的问题，有弄虚作假等不诚实行为。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756" w:type="dxa"/>
            <w:noWrap w:val="0"/>
            <w:vAlign w:val="center"/>
          </w:tcPr>
          <w:p w14:paraId="21217B1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 w14:paraId="1B33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5AFC712D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AB6A4D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履行保密</w:t>
            </w:r>
          </w:p>
          <w:p w14:paraId="1D698EE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义务情况</w:t>
            </w:r>
          </w:p>
        </w:tc>
        <w:tc>
          <w:tcPr>
            <w:tcW w:w="6262" w:type="dxa"/>
            <w:noWrap w:val="0"/>
            <w:vAlign w:val="center"/>
          </w:tcPr>
          <w:p w14:paraId="247A08E4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有以下任何一种情形的，都不得分：</w:t>
            </w:r>
          </w:p>
          <w:p w14:paraId="4BEB7501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1.将审计结果用于与工作任务无关目的。</w:t>
            </w:r>
          </w:p>
          <w:p w14:paraId="59A8D388"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2.将工作任务外包给其他机构的。</w:t>
            </w:r>
          </w:p>
          <w:p w14:paraId="3C4D8C9D"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3.违反保密义务或者回避规定的。</w:t>
            </w:r>
          </w:p>
        </w:tc>
        <w:tc>
          <w:tcPr>
            <w:tcW w:w="756" w:type="dxa"/>
            <w:noWrap w:val="0"/>
            <w:vAlign w:val="center"/>
          </w:tcPr>
          <w:p w14:paraId="6E58CC4F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</w:tbl>
    <w:p w14:paraId="0760B138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52D40920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83173"/>
    <w:rsid w:val="43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2025-07-09T08:28:00Z</dcterms:created>
  <dc:creator>杨凌喵喵</dc:creator>
  <cp:lastModifiedBy>杨凌喵喵</cp:lastModifiedBy>
  <dcterms:modified xsi:type="dcterms:W3CDTF">2025-07-09T08:29:12Z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71AD33F5EDF64026930F41C459F948F6_11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